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06B71" w14:textId="36C8FD3B" w:rsidR="001A1C07" w:rsidRPr="001A1C07" w:rsidRDefault="001A1C07" w:rsidP="001A1C07">
      <w:pPr>
        <w:pStyle w:val="NoSpacing"/>
        <w:jc w:val="center"/>
        <w:rPr>
          <w:u w:val="single"/>
        </w:rPr>
      </w:pPr>
      <w:r w:rsidRPr="001A1C07">
        <w:rPr>
          <w:u w:val="single"/>
        </w:rPr>
        <w:t>PR</w:t>
      </w:r>
      <w:r>
        <w:rPr>
          <w:u w:val="single"/>
        </w:rPr>
        <w:t>AC</w:t>
      </w:r>
      <w:r w:rsidRPr="001A1C07">
        <w:rPr>
          <w:u w:val="single"/>
        </w:rPr>
        <w:t>TICE LETTERHEAD HERE</w:t>
      </w:r>
    </w:p>
    <w:p w14:paraId="405CB3A0" w14:textId="77777777" w:rsidR="001A1C07" w:rsidRPr="001A1C07" w:rsidRDefault="001A1C07" w:rsidP="001A1C07">
      <w:pPr>
        <w:pStyle w:val="NoSpacing"/>
      </w:pPr>
    </w:p>
    <w:p w14:paraId="0B9CFB4F" w14:textId="5DB99FA9" w:rsidR="001A1C07" w:rsidRPr="001A1C07" w:rsidRDefault="001A1C07" w:rsidP="001A1C07">
      <w:pPr>
        <w:pStyle w:val="NoSpacing"/>
      </w:pPr>
      <w:r w:rsidRPr="001A1C07">
        <w:t xml:space="preserve">Re: Recent Shared Care Requests and GP Collective Action </w:t>
      </w:r>
    </w:p>
    <w:p w14:paraId="2D23D281" w14:textId="0C5FC817" w:rsidR="001A1C07" w:rsidRPr="001A1C07" w:rsidRDefault="001A1C07" w:rsidP="001A1C07">
      <w:pPr>
        <w:pStyle w:val="NoSpacing"/>
      </w:pPr>
    </w:p>
    <w:p w14:paraId="752B31D1" w14:textId="3458FF8E" w:rsidR="001A1C07" w:rsidRDefault="001A1C07" w:rsidP="001A1C07">
      <w:pPr>
        <w:pStyle w:val="NoSpacing"/>
      </w:pPr>
      <w:r>
        <w:t>Dear Colleagues,</w:t>
      </w:r>
    </w:p>
    <w:p w14:paraId="7EE40CF0" w14:textId="77777777" w:rsidR="001A1C07" w:rsidRDefault="001A1C07" w:rsidP="001A1C07">
      <w:pPr>
        <w:pStyle w:val="NoSpacing"/>
      </w:pPr>
    </w:p>
    <w:p w14:paraId="118D614F" w14:textId="73A93164" w:rsidR="001A1C07" w:rsidRDefault="001A1C07" w:rsidP="001A1C07">
      <w:pPr>
        <w:pStyle w:val="NoSpacing"/>
      </w:pPr>
      <w:r w:rsidRPr="001A1C07">
        <w:t xml:space="preserve">We are writing to inform you that our practice is participating in the BMA's collective action programme, which includes the recommendation that practices do not </w:t>
      </w:r>
      <w:proofErr w:type="gramStart"/>
      <w:r w:rsidRPr="001A1C07">
        <w:t>enter into</w:t>
      </w:r>
      <w:proofErr w:type="gramEnd"/>
      <w:r w:rsidRPr="001A1C07">
        <w:t xml:space="preserve"> new shared care arrangements for medications where the associated workload is unfunded or significantly underfunded.</w:t>
      </w:r>
      <w:r>
        <w:t xml:space="preserve">  </w:t>
      </w:r>
      <w:r w:rsidRPr="001A1C07">
        <w:rPr>
          <w:b/>
          <w:bCs/>
          <w:u w:val="single"/>
        </w:rPr>
        <w:t xml:space="preserve">As such we regret to inform you that we will not be taking over the ongoing prescribing of this new shared care </w:t>
      </w:r>
      <w:r>
        <w:rPr>
          <w:b/>
          <w:bCs/>
          <w:u w:val="single"/>
        </w:rPr>
        <w:t>request.</w:t>
      </w:r>
    </w:p>
    <w:p w14:paraId="132B2233" w14:textId="77777777" w:rsidR="001A1C07" w:rsidRPr="001A1C07" w:rsidRDefault="001A1C07" w:rsidP="001A1C07">
      <w:pPr>
        <w:pStyle w:val="NoSpacing"/>
      </w:pPr>
    </w:p>
    <w:p w14:paraId="77DABFFB" w14:textId="774F4CB1" w:rsidR="001A1C07" w:rsidRDefault="001A1C07" w:rsidP="001A1C07">
      <w:pPr>
        <w:pStyle w:val="NoSpacing"/>
      </w:pPr>
      <w:r w:rsidRPr="001A1C07">
        <w:t>We want to emphasise that this action is not directed at our secondary care colleagues. We greatly value the close working relationships we have with hospital teams and recognise the significant pressures currently being experienced across the entire NHS.</w:t>
      </w:r>
      <w:r>
        <w:t xml:space="preserve">  </w:t>
      </w:r>
      <w:r w:rsidRPr="001A1C07">
        <w:t>Rather, this action reflects the increasingly challenging position in which general practice finds itself, with rising demand, increasing clinical complexity and insufficient funding to safely deliver additional workload that has historically transferred from secondary to primary care.</w:t>
      </w:r>
    </w:p>
    <w:p w14:paraId="3FD04270" w14:textId="77777777" w:rsidR="001A1C07" w:rsidRPr="001A1C07" w:rsidRDefault="001A1C07" w:rsidP="001A1C07">
      <w:pPr>
        <w:pStyle w:val="NoSpacing"/>
      </w:pPr>
    </w:p>
    <w:p w14:paraId="1E03E770" w14:textId="77777777" w:rsidR="001A1C07" w:rsidRDefault="001A1C07" w:rsidP="001A1C07">
      <w:pPr>
        <w:pStyle w:val="NoSpacing"/>
      </w:pPr>
      <w:r w:rsidRPr="001A1C07">
        <w:t>For many years, general practice has sought to support patients by undertaking responsibilities associated with shared care prescribing and monitoring. However, the resources available to practices have not kept pace with the workload, staffing requirements, inflationary pressures and governance responsibilities associated with these arrangements. While shared care payments are intended to support the delivery of these services, many practices have concluded that the funding no longer reflects the true cost of providing safe and effective care.</w:t>
      </w:r>
    </w:p>
    <w:p w14:paraId="766ABEFA" w14:textId="77777777" w:rsidR="001A1C07" w:rsidRPr="001A1C07" w:rsidRDefault="001A1C07" w:rsidP="001A1C07">
      <w:pPr>
        <w:pStyle w:val="NoSpacing"/>
      </w:pPr>
    </w:p>
    <w:p w14:paraId="147015CC" w14:textId="76419A06" w:rsidR="001A1C07" w:rsidRDefault="001A1C07" w:rsidP="001A1C07">
      <w:pPr>
        <w:pStyle w:val="NoSpacing"/>
      </w:pPr>
      <w:r w:rsidRPr="001A1C07">
        <w:t>The activity involved in managing patients under shared care agreements extends far beyond issuing prescriptions. It includes significant pharmacy and clinical team time reviewing requests, checking blood test results and monitoring requirements, operating recall systems, managing non-attendance, arranging and chasing monitoring appointments, and ensuring that monitoring is completed within agreed timescales</w:t>
      </w:r>
      <w:r>
        <w:t xml:space="preserve">.  </w:t>
      </w:r>
      <w:r w:rsidRPr="001A1C07">
        <w:t>Practices also commit substantial administrative and clinical resources to liaising with specialist teams when information is incomplete or clarification is required, managing delays in receiving clinic correspondence or monitoring plans, responding to medicine supply issues, implementing dose changes and safety alerts, and maintaining the governance, documentation and audit processes necessary to support safe prescribing.</w:t>
      </w:r>
      <w:r>
        <w:t xml:space="preserve">  </w:t>
      </w:r>
      <w:r w:rsidRPr="001A1C07">
        <w:t xml:space="preserve">In addition, there are often considerable challenges when patients need to be </w:t>
      </w:r>
      <w:proofErr w:type="gramStart"/>
      <w:r w:rsidRPr="001A1C07">
        <w:t>referred back</w:t>
      </w:r>
      <w:proofErr w:type="gramEnd"/>
      <w:r w:rsidRPr="001A1C07">
        <w:t xml:space="preserve"> to specialist services because of adverse effects, abnormal monitoring results or concerns regarding treatment. Delays in accessing specialist review can place additional workload and responsibility on primary care teams. Importantly, practices assume ongoing clinical and medico-legal responsibility when prescribing and monitoring specialist medicines, despite not always having direct access to specialist expertise or adequately funded capacity to undertake this work.</w:t>
      </w:r>
    </w:p>
    <w:p w14:paraId="2D381CA8" w14:textId="77777777" w:rsidR="001A1C07" w:rsidRPr="001A1C07" w:rsidRDefault="001A1C07" w:rsidP="001A1C07">
      <w:pPr>
        <w:pStyle w:val="NoSpacing"/>
      </w:pPr>
    </w:p>
    <w:p w14:paraId="3055FCE3" w14:textId="77777777" w:rsidR="001A1C07" w:rsidRDefault="001A1C07" w:rsidP="001A1C07">
      <w:pPr>
        <w:pStyle w:val="NoSpacing"/>
      </w:pPr>
      <w:r w:rsidRPr="001A1C07">
        <w:t xml:space="preserve">At a time when staffing and operational costs have increased substantially, there has been insufficient uplift in funding to reflect the growing demands and complexity of shared care arrangements. As a result, many practices now find themselves in a position </w:t>
      </w:r>
      <w:r w:rsidRPr="001A1C07">
        <w:lastRenderedPageBreak/>
        <w:t>where the workload associated with new shared care requests exceeds the resources available to deliver them safely.</w:t>
      </w:r>
    </w:p>
    <w:p w14:paraId="61F58BC4" w14:textId="77777777" w:rsidR="001A1C07" w:rsidRDefault="001A1C07" w:rsidP="001A1C07">
      <w:pPr>
        <w:pStyle w:val="NoSpacing"/>
      </w:pPr>
    </w:p>
    <w:p w14:paraId="5DDFAB8C" w14:textId="6DD365CE" w:rsidR="001A1C07" w:rsidRDefault="001A1C07" w:rsidP="001A1C07">
      <w:pPr>
        <w:pStyle w:val="NoSpacing"/>
      </w:pPr>
      <w:r w:rsidRPr="001A1C07">
        <w:t>The BMA has advised that practices may lawfully decline to enter into new shared care agreements where they do not have the capacity or resources to undertake the required work safely. This position is supported by legal advice obtained by the BMA and is consistent with statements made by the Minister of State for Health and Social Care acknowledging that GP practices may decline shared care arrangements on clinical or capacity grounds. Where practices lack adequate funding for the staffing, administrative and clinical resources required to provide these services, this inevitably impacts on their capacity to safely assume additional responsibilities.</w:t>
      </w:r>
    </w:p>
    <w:p w14:paraId="26C832B3" w14:textId="77777777" w:rsidR="001A1C07" w:rsidRPr="001A1C07" w:rsidRDefault="001A1C07" w:rsidP="001A1C07">
      <w:pPr>
        <w:pStyle w:val="NoSpacing"/>
      </w:pPr>
    </w:p>
    <w:p w14:paraId="68C5144A" w14:textId="77777777" w:rsidR="001A1C07" w:rsidRDefault="001A1C07" w:rsidP="001A1C07">
      <w:pPr>
        <w:pStyle w:val="NoSpacing"/>
      </w:pPr>
      <w:r w:rsidRPr="001A1C07">
        <w:t>Consequently, our practice may not be able to accept new shared care requests for medications where the necessary funding and support arrangements are not in place. We would like to reassure colleagues that, unless clinically indicated otherwise, this does not affect shared care arrangements that have already been formally agreed and are currently established for existing patients.</w:t>
      </w:r>
    </w:p>
    <w:p w14:paraId="69CB993C" w14:textId="77777777" w:rsidR="001A1C07" w:rsidRPr="001A1C07" w:rsidRDefault="001A1C07" w:rsidP="001A1C07">
      <w:pPr>
        <w:pStyle w:val="NoSpacing"/>
      </w:pPr>
    </w:p>
    <w:p w14:paraId="6BA85371" w14:textId="77777777" w:rsidR="001A1C07" w:rsidRDefault="001A1C07" w:rsidP="001A1C07">
      <w:pPr>
        <w:pStyle w:val="NoSpacing"/>
      </w:pPr>
      <w:r w:rsidRPr="001A1C07">
        <w:t>We fully recognise the challenges this may create for secondary care services and sincerely appreciate your understanding and support. We hope that by highlighting the unsustainable pressures currently experienced in general practice, this collective action will help stimulate meaningful discussions regarding the need for appropriate funding, workforce investment and equitable resourcing across the entire patient pathway.</w:t>
      </w:r>
    </w:p>
    <w:p w14:paraId="3835F63B" w14:textId="77777777" w:rsidR="001A1C07" w:rsidRPr="001A1C07" w:rsidRDefault="001A1C07" w:rsidP="001A1C07">
      <w:pPr>
        <w:pStyle w:val="NoSpacing"/>
      </w:pPr>
    </w:p>
    <w:p w14:paraId="3395F9DB" w14:textId="77777777" w:rsidR="001A1C07" w:rsidRDefault="001A1C07" w:rsidP="001A1C07">
      <w:pPr>
        <w:pStyle w:val="NoSpacing"/>
      </w:pPr>
      <w:r w:rsidRPr="001A1C07">
        <w:t>Our shared priority remains the delivery of safe, high-quality patient care. We value our partnership with secondary care colleagues and would be grateful for your support as general practice seeks to secure the resources necessary to provide sustainable and safe services for our patients and communities.</w:t>
      </w:r>
    </w:p>
    <w:p w14:paraId="2DECFA16" w14:textId="77777777" w:rsidR="001A1C07" w:rsidRPr="001A1C07" w:rsidRDefault="001A1C07" w:rsidP="001A1C07">
      <w:pPr>
        <w:pStyle w:val="NoSpacing"/>
      </w:pPr>
    </w:p>
    <w:p w14:paraId="1B9F1E4D" w14:textId="77777777" w:rsidR="001A1C07" w:rsidRPr="001A1C07" w:rsidRDefault="001A1C07" w:rsidP="001A1C07">
      <w:pPr>
        <w:pStyle w:val="NoSpacing"/>
      </w:pPr>
      <w:r w:rsidRPr="001A1C07">
        <w:t>Thank you for your continued collaboration and understanding.</w:t>
      </w:r>
    </w:p>
    <w:p w14:paraId="44EF26C2" w14:textId="131F7A65" w:rsidR="001A1C07" w:rsidRDefault="001A1C07" w:rsidP="001A1C07">
      <w:pPr>
        <w:pStyle w:val="NoSpacing"/>
      </w:pPr>
      <w:r>
        <w:t>Kind regards,</w:t>
      </w:r>
    </w:p>
    <w:p w14:paraId="3B3726B6" w14:textId="72FA9B29" w:rsidR="001A1C07" w:rsidRPr="001A1C07" w:rsidRDefault="001A1C07" w:rsidP="001A1C07">
      <w:pPr>
        <w:pStyle w:val="NoSpacing"/>
      </w:pPr>
      <w:r>
        <w:t>XXXXXXX</w:t>
      </w:r>
    </w:p>
    <w:sectPr w:rsidR="001A1C07" w:rsidRPr="001A1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07"/>
    <w:rsid w:val="00035099"/>
    <w:rsid w:val="001A1C07"/>
    <w:rsid w:val="00547317"/>
    <w:rsid w:val="00741D24"/>
    <w:rsid w:val="00A468C9"/>
    <w:rsid w:val="00E5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0B99"/>
  <w15:chartTrackingRefBased/>
  <w15:docId w15:val="{02EFFBEC-496D-4CD5-92D4-511AFC04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A5E"/>
    <w:pPr>
      <w:spacing w:after="0" w:line="240" w:lineRule="auto"/>
    </w:pPr>
    <w:rPr>
      <w:rFonts w:ascii="Roboto" w:hAnsi="Roboto"/>
      <w:sz w:val="23"/>
      <w:szCs w:val="22"/>
    </w:rPr>
  </w:style>
  <w:style w:type="character" w:customStyle="1" w:styleId="Heading1Char">
    <w:name w:val="Heading 1 Char"/>
    <w:basedOn w:val="DefaultParagraphFont"/>
    <w:link w:val="Heading1"/>
    <w:uiPriority w:val="9"/>
    <w:rsid w:val="001A1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C07"/>
    <w:rPr>
      <w:rFonts w:eastAsiaTheme="majorEastAsia" w:cstheme="majorBidi"/>
      <w:color w:val="272727" w:themeColor="text1" w:themeTint="D8"/>
    </w:rPr>
  </w:style>
  <w:style w:type="paragraph" w:styleId="Title">
    <w:name w:val="Title"/>
    <w:basedOn w:val="Normal"/>
    <w:next w:val="Normal"/>
    <w:link w:val="TitleChar"/>
    <w:uiPriority w:val="10"/>
    <w:qFormat/>
    <w:rsid w:val="001A1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C07"/>
    <w:pPr>
      <w:spacing w:before="160"/>
      <w:jc w:val="center"/>
    </w:pPr>
    <w:rPr>
      <w:i/>
      <w:iCs/>
      <w:color w:val="404040" w:themeColor="text1" w:themeTint="BF"/>
    </w:rPr>
  </w:style>
  <w:style w:type="character" w:customStyle="1" w:styleId="QuoteChar">
    <w:name w:val="Quote Char"/>
    <w:basedOn w:val="DefaultParagraphFont"/>
    <w:link w:val="Quote"/>
    <w:uiPriority w:val="29"/>
    <w:rsid w:val="001A1C07"/>
    <w:rPr>
      <w:i/>
      <w:iCs/>
      <w:color w:val="404040" w:themeColor="text1" w:themeTint="BF"/>
    </w:rPr>
  </w:style>
  <w:style w:type="paragraph" w:styleId="ListParagraph">
    <w:name w:val="List Paragraph"/>
    <w:basedOn w:val="Normal"/>
    <w:uiPriority w:val="34"/>
    <w:qFormat/>
    <w:rsid w:val="001A1C07"/>
    <w:pPr>
      <w:ind w:left="720"/>
      <w:contextualSpacing/>
    </w:pPr>
  </w:style>
  <w:style w:type="character" w:styleId="IntenseEmphasis">
    <w:name w:val="Intense Emphasis"/>
    <w:basedOn w:val="DefaultParagraphFont"/>
    <w:uiPriority w:val="21"/>
    <w:qFormat/>
    <w:rsid w:val="001A1C07"/>
    <w:rPr>
      <w:i/>
      <w:iCs/>
      <w:color w:val="0F4761" w:themeColor="accent1" w:themeShade="BF"/>
    </w:rPr>
  </w:style>
  <w:style w:type="paragraph" w:styleId="IntenseQuote">
    <w:name w:val="Intense Quote"/>
    <w:basedOn w:val="Normal"/>
    <w:next w:val="Normal"/>
    <w:link w:val="IntenseQuoteChar"/>
    <w:uiPriority w:val="30"/>
    <w:qFormat/>
    <w:rsid w:val="001A1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C07"/>
    <w:rPr>
      <w:i/>
      <w:iCs/>
      <w:color w:val="0F4761" w:themeColor="accent1" w:themeShade="BF"/>
    </w:rPr>
  </w:style>
  <w:style w:type="character" w:styleId="IntenseReference">
    <w:name w:val="Intense Reference"/>
    <w:basedOn w:val="DefaultParagraphFont"/>
    <w:uiPriority w:val="32"/>
    <w:qFormat/>
    <w:rsid w:val="001A1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534714">
      <w:bodyDiv w:val="1"/>
      <w:marLeft w:val="0"/>
      <w:marRight w:val="0"/>
      <w:marTop w:val="0"/>
      <w:marBottom w:val="0"/>
      <w:divBdr>
        <w:top w:val="none" w:sz="0" w:space="0" w:color="auto"/>
        <w:left w:val="none" w:sz="0" w:space="0" w:color="auto"/>
        <w:bottom w:val="none" w:sz="0" w:space="0" w:color="auto"/>
        <w:right w:val="none" w:sz="0" w:space="0" w:color="auto"/>
      </w:divBdr>
      <w:divsChild>
        <w:div w:id="1785267985">
          <w:marLeft w:val="0"/>
          <w:marRight w:val="0"/>
          <w:marTop w:val="0"/>
          <w:marBottom w:val="0"/>
          <w:divBdr>
            <w:top w:val="none" w:sz="0" w:space="0" w:color="auto"/>
            <w:left w:val="none" w:sz="0" w:space="0" w:color="auto"/>
            <w:bottom w:val="none" w:sz="0" w:space="0" w:color="auto"/>
            <w:right w:val="none" w:sz="0" w:space="0" w:color="auto"/>
          </w:divBdr>
        </w:div>
      </w:divsChild>
    </w:div>
    <w:div w:id="795684648">
      <w:bodyDiv w:val="1"/>
      <w:marLeft w:val="0"/>
      <w:marRight w:val="0"/>
      <w:marTop w:val="0"/>
      <w:marBottom w:val="0"/>
      <w:divBdr>
        <w:top w:val="none" w:sz="0" w:space="0" w:color="auto"/>
        <w:left w:val="none" w:sz="0" w:space="0" w:color="auto"/>
        <w:bottom w:val="none" w:sz="0" w:space="0" w:color="auto"/>
        <w:right w:val="none" w:sz="0" w:space="0" w:color="auto"/>
      </w:divBdr>
      <w:divsChild>
        <w:div w:id="84541454">
          <w:marLeft w:val="0"/>
          <w:marRight w:val="0"/>
          <w:marTop w:val="0"/>
          <w:marBottom w:val="0"/>
          <w:divBdr>
            <w:top w:val="none" w:sz="0" w:space="0" w:color="auto"/>
            <w:left w:val="none" w:sz="0" w:space="0" w:color="auto"/>
            <w:bottom w:val="none" w:sz="0" w:space="0" w:color="auto"/>
            <w:right w:val="none" w:sz="0" w:space="0" w:color="auto"/>
          </w:divBdr>
        </w:div>
      </w:divsChild>
    </w:div>
    <w:div w:id="1397901255">
      <w:bodyDiv w:val="1"/>
      <w:marLeft w:val="0"/>
      <w:marRight w:val="0"/>
      <w:marTop w:val="0"/>
      <w:marBottom w:val="0"/>
      <w:divBdr>
        <w:top w:val="none" w:sz="0" w:space="0" w:color="auto"/>
        <w:left w:val="none" w:sz="0" w:space="0" w:color="auto"/>
        <w:bottom w:val="none" w:sz="0" w:space="0" w:color="auto"/>
        <w:right w:val="none" w:sz="0" w:space="0" w:color="auto"/>
      </w:divBdr>
      <w:divsChild>
        <w:div w:id="496269499">
          <w:marLeft w:val="0"/>
          <w:marRight w:val="0"/>
          <w:marTop w:val="0"/>
          <w:marBottom w:val="0"/>
          <w:divBdr>
            <w:top w:val="none" w:sz="0" w:space="0" w:color="auto"/>
            <w:left w:val="none" w:sz="0" w:space="0" w:color="auto"/>
            <w:bottom w:val="none" w:sz="0" w:space="0" w:color="auto"/>
            <w:right w:val="none" w:sz="0" w:space="0" w:color="auto"/>
          </w:divBdr>
        </w:div>
      </w:divsChild>
    </w:div>
    <w:div w:id="1931427943">
      <w:bodyDiv w:val="1"/>
      <w:marLeft w:val="0"/>
      <w:marRight w:val="0"/>
      <w:marTop w:val="0"/>
      <w:marBottom w:val="0"/>
      <w:divBdr>
        <w:top w:val="none" w:sz="0" w:space="0" w:color="auto"/>
        <w:left w:val="none" w:sz="0" w:space="0" w:color="auto"/>
        <w:bottom w:val="none" w:sz="0" w:space="0" w:color="auto"/>
        <w:right w:val="none" w:sz="0" w:space="0" w:color="auto"/>
      </w:divBdr>
      <w:divsChild>
        <w:div w:id="206000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PARWAIZ, Reema (NHS LEICESTER, LEICESTERSHIRE AND RUTLAND ICB - 04V)</dc:creator>
  <cp:keywords/>
  <dc:description/>
  <cp:lastModifiedBy>PARWAIZ, Reema (NHS LEICESTER, LEICESTERSHIRE AND RUTLAND ICB - 04V)</cp:lastModifiedBy>
  <cp:revision>1</cp:revision>
  <dcterms:created xsi:type="dcterms:W3CDTF">2026-07-12T14:00:00Z</dcterms:created>
  <dcterms:modified xsi:type="dcterms:W3CDTF">2026-07-12T14:09:00Z</dcterms:modified>
</cp:coreProperties>
</file>