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E2" w:rsidRPr="00AC30E2" w:rsidRDefault="00AC30E2" w:rsidP="003A3E54">
      <w:pPr>
        <w:spacing w:after="0" w:line="240" w:lineRule="auto"/>
        <w:jc w:val="right"/>
      </w:pPr>
      <w:r>
        <w:rPr>
          <w:noProof/>
          <w:lang w:eastAsia="en-GB"/>
        </w:rPr>
        <w:drawing>
          <wp:anchor distT="0" distB="0" distL="114300" distR="114300" simplePos="0" relativeHeight="251660288" behindDoc="1" locked="0" layoutInCell="1" allowOverlap="1" wp14:anchorId="3C42C55D" wp14:editId="689A5BE5">
            <wp:simplePos x="0" y="0"/>
            <wp:positionH relativeFrom="column">
              <wp:posOffset>4776470</wp:posOffset>
            </wp:positionH>
            <wp:positionV relativeFrom="paragraph">
              <wp:posOffset>-581025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4C45B9A" wp14:editId="7BFADCA3">
            <wp:simplePos x="0" y="0"/>
            <wp:positionH relativeFrom="margin">
              <wp:posOffset>-241935</wp:posOffset>
            </wp:positionH>
            <wp:positionV relativeFrom="margin">
              <wp:posOffset>-494030</wp:posOffset>
            </wp:positionV>
            <wp:extent cx="1413510" cy="914400"/>
            <wp:effectExtent l="0" t="0" r="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AC30E2" w:rsidRDefault="00AC30E2" w:rsidP="00AC30E2"/>
    <w:p w:rsidR="00AC30E2" w:rsidRDefault="00AC30E2" w:rsidP="00AC30E2"/>
    <w:p w:rsidR="003A3E54" w:rsidRPr="003A3E54" w:rsidRDefault="003A3E54" w:rsidP="003A3E54">
      <w:pPr>
        <w:spacing w:line="240" w:lineRule="auto"/>
        <w:jc w:val="center"/>
        <w:rPr>
          <w:b/>
          <w:sz w:val="24"/>
          <w:szCs w:val="24"/>
        </w:rPr>
      </w:pPr>
      <w:r w:rsidRPr="003A3E54">
        <w:rPr>
          <w:b/>
          <w:sz w:val="24"/>
          <w:szCs w:val="24"/>
        </w:rPr>
        <w:t>Central Midlands (Leicestershire, Lincolnshire and Northamptonshire)</w:t>
      </w:r>
    </w:p>
    <w:p w:rsidR="003A3E54" w:rsidRPr="003A3E54" w:rsidRDefault="003A3E54" w:rsidP="003A3E54">
      <w:pPr>
        <w:spacing w:line="240" w:lineRule="auto"/>
        <w:jc w:val="center"/>
        <w:rPr>
          <w:b/>
          <w:sz w:val="24"/>
          <w:szCs w:val="24"/>
        </w:rPr>
      </w:pPr>
      <w:r w:rsidRPr="003A3E54">
        <w:rPr>
          <w:b/>
          <w:sz w:val="24"/>
          <w:szCs w:val="24"/>
        </w:rPr>
        <w:t>Screening and Immunisation Team Update</w:t>
      </w:r>
    </w:p>
    <w:p w:rsidR="003A3E54" w:rsidRPr="003A3E54" w:rsidRDefault="003A3E54" w:rsidP="003A3E54">
      <w:pPr>
        <w:spacing w:line="240" w:lineRule="auto"/>
        <w:jc w:val="center"/>
        <w:rPr>
          <w:b/>
          <w:sz w:val="24"/>
          <w:szCs w:val="24"/>
        </w:rPr>
      </w:pPr>
      <w:r w:rsidRPr="003A3E54">
        <w:rPr>
          <w:b/>
          <w:sz w:val="24"/>
          <w:szCs w:val="24"/>
        </w:rPr>
        <w:t xml:space="preserve">W/C </w:t>
      </w:r>
      <w:r w:rsidR="001D4B1A">
        <w:rPr>
          <w:b/>
          <w:sz w:val="24"/>
          <w:szCs w:val="24"/>
        </w:rPr>
        <w:t>28</w:t>
      </w:r>
      <w:r w:rsidR="001D4B1A" w:rsidRPr="001D4B1A">
        <w:rPr>
          <w:b/>
          <w:sz w:val="24"/>
          <w:szCs w:val="24"/>
          <w:vertAlign w:val="superscript"/>
        </w:rPr>
        <w:t>th</w:t>
      </w:r>
      <w:r w:rsidR="001D4B1A">
        <w:rPr>
          <w:b/>
          <w:sz w:val="24"/>
          <w:szCs w:val="24"/>
        </w:rPr>
        <w:t xml:space="preserve"> January 2019</w:t>
      </w:r>
    </w:p>
    <w:p w:rsidR="003A3E54" w:rsidRPr="004E716F" w:rsidRDefault="003A3E54" w:rsidP="003A3E54">
      <w:pPr>
        <w:jc w:val="center"/>
        <w:rPr>
          <w:b/>
          <w:color w:val="00B050"/>
          <w:sz w:val="24"/>
          <w:szCs w:val="24"/>
        </w:rPr>
      </w:pPr>
      <w:r w:rsidRPr="004E716F">
        <w:rPr>
          <w:b/>
          <w:color w:val="00B050"/>
          <w:sz w:val="24"/>
          <w:szCs w:val="24"/>
        </w:rPr>
        <w:t>Please cascade to ALL staff, including GPs, Practice Nurses</w:t>
      </w:r>
      <w:r w:rsidR="004E716F" w:rsidRPr="004E716F">
        <w:rPr>
          <w:b/>
          <w:color w:val="00B050"/>
          <w:sz w:val="24"/>
          <w:szCs w:val="24"/>
        </w:rPr>
        <w:t xml:space="preserve">, Admin </w:t>
      </w:r>
      <w:r w:rsidRPr="004E716F">
        <w:rPr>
          <w:b/>
          <w:color w:val="00B050"/>
          <w:sz w:val="24"/>
          <w:szCs w:val="24"/>
        </w:rPr>
        <w:t>and Reception Staff</w:t>
      </w:r>
    </w:p>
    <w:p w:rsidR="003A3E54" w:rsidRDefault="003A3E54" w:rsidP="003A3E54">
      <w:pPr>
        <w:rPr>
          <w:b/>
          <w:sz w:val="24"/>
          <w:szCs w:val="24"/>
        </w:rPr>
      </w:pPr>
    </w:p>
    <w:p w:rsidR="00F1134B" w:rsidRDefault="003A3E54" w:rsidP="003A3E54">
      <w:pPr>
        <w:rPr>
          <w:b/>
          <w:sz w:val="24"/>
          <w:szCs w:val="24"/>
          <w:u w:val="single"/>
        </w:rPr>
      </w:pPr>
      <w:r w:rsidRPr="003D584A">
        <w:rPr>
          <w:b/>
          <w:sz w:val="24"/>
          <w:szCs w:val="24"/>
          <w:u w:val="single"/>
        </w:rPr>
        <w:t xml:space="preserve">Immunisation Information </w:t>
      </w:r>
    </w:p>
    <w:p w:rsidR="00F1134B" w:rsidRDefault="007B092B" w:rsidP="00F1134B">
      <w:pPr>
        <w:spacing w:line="240" w:lineRule="auto"/>
        <w:rPr>
          <w:b/>
          <w:sz w:val="24"/>
          <w:szCs w:val="24"/>
        </w:rPr>
      </w:pPr>
      <w:r w:rsidRPr="0011699F">
        <w:rPr>
          <w:b/>
          <w:sz w:val="24"/>
          <w:szCs w:val="24"/>
        </w:rPr>
        <w:t>Hep A vaccine supplies</w:t>
      </w:r>
      <w:r w:rsidR="002930A5">
        <w:rPr>
          <w:b/>
          <w:sz w:val="24"/>
          <w:szCs w:val="24"/>
        </w:rPr>
        <w:t xml:space="preserve"> – </w:t>
      </w:r>
      <w:r w:rsidR="002930A5" w:rsidRPr="002930A5">
        <w:rPr>
          <w:b/>
          <w:color w:val="00B050"/>
          <w:sz w:val="24"/>
          <w:szCs w:val="24"/>
        </w:rPr>
        <w:t>for information</w:t>
      </w:r>
    </w:p>
    <w:p w:rsidR="0011699F" w:rsidRPr="0011699F" w:rsidRDefault="0011699F" w:rsidP="00F1134B">
      <w:pPr>
        <w:spacing w:line="240" w:lineRule="auto"/>
        <w:rPr>
          <w:sz w:val="24"/>
          <w:szCs w:val="24"/>
        </w:rPr>
      </w:pPr>
      <w:r w:rsidRPr="0011699F">
        <w:rPr>
          <w:sz w:val="24"/>
          <w:szCs w:val="24"/>
        </w:rPr>
        <w:t>As previously communicated to you, we were advised about the following on 24 December:</w:t>
      </w:r>
    </w:p>
    <w:p w:rsidR="0011699F" w:rsidRPr="0011699F" w:rsidRDefault="0011699F" w:rsidP="0011699F">
      <w:pPr>
        <w:spacing w:line="240" w:lineRule="auto"/>
        <w:rPr>
          <w:i/>
          <w:sz w:val="24"/>
          <w:szCs w:val="24"/>
        </w:rPr>
      </w:pPr>
      <w:r w:rsidRPr="0011699F">
        <w:rPr>
          <w:i/>
          <w:sz w:val="24"/>
          <w:szCs w:val="24"/>
          <w:u w:val="single"/>
        </w:rPr>
        <w:t>HepA vaccine central stock available to order free of charge from Immform while stocks last.</w:t>
      </w:r>
      <w:r w:rsidRPr="0011699F">
        <w:rPr>
          <w:i/>
          <w:sz w:val="24"/>
          <w:szCs w:val="24"/>
        </w:rPr>
        <w:t xml:space="preserve">  Some remaining PHE central stock of HepA vaccine, procured for GUM clinic use as part of the emergency response to the MSM-related outbreak last year, is now available to order free of charge from ImmForm by GPs and NHS hospital pharmacies, while stock lasts. This temporary availability via ImmForm is to prevent wastage as stock is approaching expiry in 2019. A small amount of vaccine has been kept aside for incidents.  Available stock includes: Vaqta (18+), Havrix adult (16+) and Havrix junior (under 15 years).  This stock can be used for all Green Book indications, but preferably for MSM, household contacts of cases, people with chronic liver disease and people who inject drugs.</w:t>
      </w:r>
    </w:p>
    <w:p w:rsidR="0011699F" w:rsidRPr="0011699F" w:rsidRDefault="0011699F" w:rsidP="00F1134B">
      <w:pPr>
        <w:spacing w:line="240" w:lineRule="auto"/>
        <w:rPr>
          <w:sz w:val="24"/>
          <w:szCs w:val="24"/>
        </w:rPr>
      </w:pPr>
      <w:r>
        <w:rPr>
          <w:sz w:val="24"/>
          <w:szCs w:val="24"/>
        </w:rPr>
        <w:t>We have had no further update with regard to stock levels but if you do manage to obtain any of this vaccine you of course cannot claim back the vaccine cost on an FP34 as you would usually do for vaccine that you have purchased.</w:t>
      </w:r>
    </w:p>
    <w:p w:rsidR="009B0F8D" w:rsidRDefault="009B0F8D" w:rsidP="00F1134B">
      <w:pPr>
        <w:spacing w:line="240" w:lineRule="auto"/>
        <w:rPr>
          <w:sz w:val="24"/>
          <w:szCs w:val="24"/>
        </w:rPr>
      </w:pPr>
    </w:p>
    <w:p w:rsidR="00B07780" w:rsidRDefault="00B07780" w:rsidP="00F1134B">
      <w:pPr>
        <w:spacing w:line="240" w:lineRule="auto"/>
        <w:rPr>
          <w:b/>
          <w:sz w:val="24"/>
          <w:szCs w:val="24"/>
        </w:rPr>
      </w:pPr>
      <w:r>
        <w:rPr>
          <w:b/>
          <w:sz w:val="24"/>
          <w:szCs w:val="24"/>
        </w:rPr>
        <w:t xml:space="preserve">Co-administration of </w:t>
      </w:r>
      <w:r w:rsidR="00B86D55" w:rsidRPr="00B86D55">
        <w:rPr>
          <w:b/>
          <w:sz w:val="24"/>
          <w:szCs w:val="24"/>
        </w:rPr>
        <w:t>PPV and shingles vacci</w:t>
      </w:r>
      <w:r>
        <w:rPr>
          <w:b/>
          <w:sz w:val="24"/>
          <w:szCs w:val="24"/>
        </w:rPr>
        <w:t>nes</w:t>
      </w:r>
      <w:r w:rsidR="002930A5">
        <w:rPr>
          <w:b/>
          <w:sz w:val="24"/>
          <w:szCs w:val="24"/>
        </w:rPr>
        <w:t xml:space="preserve"> – </w:t>
      </w:r>
      <w:r w:rsidR="002930A5" w:rsidRPr="002930A5">
        <w:rPr>
          <w:b/>
          <w:color w:val="00B050"/>
          <w:sz w:val="24"/>
          <w:szCs w:val="24"/>
        </w:rPr>
        <w:t>for information</w:t>
      </w:r>
    </w:p>
    <w:p w:rsidR="005A275C" w:rsidRDefault="005A275C" w:rsidP="005A275C">
      <w:pPr>
        <w:spacing w:before="240" w:line="240" w:lineRule="auto"/>
        <w:rPr>
          <w:sz w:val="24"/>
          <w:szCs w:val="24"/>
        </w:rPr>
      </w:pPr>
      <w:r>
        <w:rPr>
          <w:sz w:val="24"/>
          <w:szCs w:val="24"/>
        </w:rPr>
        <w:t>Remember that Green Book guidance overrules the product SPC where this information differs.  If, additionally, a PGD is clear that off-label use is permitted then you can use it to vaccinate.  ‘Off-label’ just means that a (still) licensed medicine is being used in a different manner to that for which its license was originally granted.</w:t>
      </w:r>
    </w:p>
    <w:p w:rsidR="005A275C" w:rsidRDefault="005A275C" w:rsidP="0011699F">
      <w:pPr>
        <w:spacing w:line="240" w:lineRule="auto"/>
        <w:rPr>
          <w:sz w:val="24"/>
          <w:szCs w:val="24"/>
        </w:rPr>
      </w:pPr>
      <w:r w:rsidRPr="005A275C">
        <w:rPr>
          <w:sz w:val="24"/>
          <w:szCs w:val="24"/>
        </w:rPr>
        <w:t xml:space="preserve">The </w:t>
      </w:r>
      <w:r w:rsidRPr="005A275C">
        <w:rPr>
          <w:sz w:val="24"/>
          <w:szCs w:val="24"/>
          <w:u w:val="single"/>
        </w:rPr>
        <w:t>Off-label use</w:t>
      </w:r>
      <w:r w:rsidRPr="005A275C">
        <w:rPr>
          <w:sz w:val="24"/>
          <w:szCs w:val="24"/>
        </w:rPr>
        <w:t xml:space="preserve"> and </w:t>
      </w:r>
      <w:r w:rsidRPr="005A275C">
        <w:rPr>
          <w:sz w:val="24"/>
          <w:szCs w:val="24"/>
          <w:u w:val="single"/>
        </w:rPr>
        <w:t>Drug interaction</w:t>
      </w:r>
      <w:r w:rsidRPr="005A275C">
        <w:rPr>
          <w:sz w:val="24"/>
          <w:szCs w:val="24"/>
        </w:rPr>
        <w:t xml:space="preserve"> sections of both the PPV and </w:t>
      </w:r>
      <w:r>
        <w:rPr>
          <w:sz w:val="24"/>
          <w:szCs w:val="24"/>
        </w:rPr>
        <w:t>S</w:t>
      </w:r>
      <w:r w:rsidRPr="005A275C">
        <w:rPr>
          <w:sz w:val="24"/>
          <w:szCs w:val="24"/>
        </w:rPr>
        <w:t xml:space="preserve">hingles PGDs make it clear that (in line with the Green Book </w:t>
      </w:r>
      <w:r w:rsidR="0011699F">
        <w:rPr>
          <w:sz w:val="24"/>
          <w:szCs w:val="24"/>
        </w:rPr>
        <w:t xml:space="preserve">- ch 28a, p 6 - </w:t>
      </w:r>
      <w:r w:rsidRPr="005A275C">
        <w:rPr>
          <w:sz w:val="24"/>
          <w:szCs w:val="24"/>
        </w:rPr>
        <w:t xml:space="preserve">recommendation) </w:t>
      </w:r>
      <w:r>
        <w:rPr>
          <w:sz w:val="24"/>
          <w:szCs w:val="24"/>
        </w:rPr>
        <w:t xml:space="preserve">co-administration </w:t>
      </w:r>
      <w:r w:rsidRPr="005A275C">
        <w:rPr>
          <w:sz w:val="24"/>
          <w:szCs w:val="24"/>
        </w:rPr>
        <w:t xml:space="preserve">is perfectly acceptable.  </w:t>
      </w:r>
      <w:r w:rsidR="0011699F">
        <w:rPr>
          <w:sz w:val="24"/>
          <w:szCs w:val="24"/>
        </w:rPr>
        <w:t>As always when more than one vaccine is being given, this should be “</w:t>
      </w:r>
      <w:r w:rsidR="0011699F" w:rsidRPr="0011699F">
        <w:rPr>
          <w:sz w:val="24"/>
          <w:szCs w:val="24"/>
        </w:rPr>
        <w:t>at separate sites, preferably in different limbs. If</w:t>
      </w:r>
      <w:r w:rsidR="0011699F">
        <w:rPr>
          <w:sz w:val="24"/>
          <w:szCs w:val="24"/>
        </w:rPr>
        <w:t xml:space="preserve"> </w:t>
      </w:r>
      <w:r w:rsidR="0011699F" w:rsidRPr="0011699F">
        <w:rPr>
          <w:sz w:val="24"/>
          <w:szCs w:val="24"/>
        </w:rPr>
        <w:t>given in the same limb, they should be given at least 2.5cm apart</w:t>
      </w:r>
      <w:r w:rsidR="0011699F">
        <w:rPr>
          <w:sz w:val="24"/>
          <w:szCs w:val="24"/>
        </w:rPr>
        <w:t>”.</w:t>
      </w:r>
    </w:p>
    <w:p w:rsidR="00B43CD2" w:rsidRDefault="00B43CD2" w:rsidP="0011699F">
      <w:pPr>
        <w:spacing w:line="240" w:lineRule="auto"/>
        <w:rPr>
          <w:sz w:val="24"/>
          <w:szCs w:val="24"/>
        </w:rPr>
      </w:pPr>
    </w:p>
    <w:p w:rsidR="00B43CD2" w:rsidRPr="00B43CD2" w:rsidRDefault="00B43CD2" w:rsidP="0011699F">
      <w:pPr>
        <w:spacing w:line="240" w:lineRule="auto"/>
        <w:rPr>
          <w:b/>
          <w:color w:val="FF0000"/>
          <w:sz w:val="24"/>
          <w:szCs w:val="24"/>
        </w:rPr>
      </w:pPr>
      <w:r w:rsidRPr="00B43CD2">
        <w:rPr>
          <w:b/>
          <w:sz w:val="24"/>
          <w:szCs w:val="24"/>
        </w:rPr>
        <w:lastRenderedPageBreak/>
        <w:t>Flu Vaccines for 2019/20</w:t>
      </w:r>
      <w:r>
        <w:rPr>
          <w:b/>
          <w:sz w:val="24"/>
          <w:szCs w:val="24"/>
        </w:rPr>
        <w:t xml:space="preserve"> – </w:t>
      </w:r>
      <w:r w:rsidRPr="00B43CD2">
        <w:rPr>
          <w:b/>
          <w:color w:val="00B050"/>
          <w:sz w:val="24"/>
          <w:szCs w:val="24"/>
        </w:rPr>
        <w:t xml:space="preserve">for information </w:t>
      </w:r>
      <w:r w:rsidRPr="00B43CD2">
        <w:rPr>
          <w:b/>
          <w:color w:val="FF0000"/>
          <w:sz w:val="24"/>
          <w:szCs w:val="24"/>
        </w:rPr>
        <w:t>and action</w:t>
      </w:r>
    </w:p>
    <w:p w:rsidR="00B43CD2" w:rsidRDefault="00B43CD2" w:rsidP="0011699F">
      <w:pPr>
        <w:spacing w:line="240" w:lineRule="auto"/>
        <w:rPr>
          <w:sz w:val="24"/>
          <w:szCs w:val="24"/>
        </w:rPr>
      </w:pPr>
      <w:r>
        <w:rPr>
          <w:sz w:val="24"/>
          <w:szCs w:val="24"/>
        </w:rPr>
        <w:t xml:space="preserve">We have recently circulated definitive information about which vaccines will be used in the national programme next season – practices should now ensure their orders are placed and confirmed as soon as possible. </w:t>
      </w:r>
    </w:p>
    <w:p w:rsidR="00B43CD2" w:rsidRDefault="00B43CD2" w:rsidP="0011699F">
      <w:pPr>
        <w:spacing w:line="240" w:lineRule="auto"/>
        <w:rPr>
          <w:sz w:val="24"/>
          <w:szCs w:val="24"/>
        </w:rPr>
      </w:pPr>
      <w:r>
        <w:rPr>
          <w:sz w:val="24"/>
          <w:szCs w:val="24"/>
        </w:rPr>
        <w:t xml:space="preserve">The letter is attached and the headlines below- </w:t>
      </w:r>
    </w:p>
    <w:p w:rsidR="00B43CD2" w:rsidRPr="00B43CD2" w:rsidRDefault="00B43CD2" w:rsidP="00B43CD2">
      <w:pPr>
        <w:spacing w:line="240" w:lineRule="auto"/>
        <w:rPr>
          <w:sz w:val="24"/>
          <w:szCs w:val="24"/>
        </w:rPr>
      </w:pPr>
      <w:r w:rsidRPr="00B43CD2">
        <w:rPr>
          <w:b/>
          <w:sz w:val="24"/>
          <w:szCs w:val="24"/>
        </w:rPr>
        <w:t>Vaccines for those aged 6 months to 17 inclusive</w:t>
      </w:r>
      <w:r w:rsidRPr="00B43CD2">
        <w:rPr>
          <w:sz w:val="24"/>
          <w:szCs w:val="24"/>
        </w:rPr>
        <w:t>:  as has been the case for the last few years all vaccines for this age group (nasal Fluenz as well as QIV) will be available to be ordered free of charge to practices through Immform.</w:t>
      </w:r>
    </w:p>
    <w:p w:rsidR="00B43CD2" w:rsidRPr="00B43CD2" w:rsidRDefault="00B43CD2" w:rsidP="00B43CD2">
      <w:pPr>
        <w:spacing w:line="240" w:lineRule="auto"/>
        <w:rPr>
          <w:sz w:val="24"/>
          <w:szCs w:val="24"/>
        </w:rPr>
      </w:pPr>
      <w:r w:rsidRPr="00B43CD2">
        <w:rPr>
          <w:b/>
          <w:sz w:val="24"/>
          <w:szCs w:val="24"/>
        </w:rPr>
        <w:t>Vaccines for those in risk groups aged 18-64:</w:t>
      </w:r>
      <w:r w:rsidRPr="00B43CD2">
        <w:rPr>
          <w:sz w:val="24"/>
          <w:szCs w:val="24"/>
        </w:rPr>
        <w:t xml:space="preserve">  two types of vaccine are appropriate; the quadrivalent inactivated vaccine (QIV) grown in eggs now called QIVe, this is the same vaccine as was used this year for this group; and you can also use the new quadrivalent cell grown vaccine (QIVc) called Flucelvax Tetra.</w:t>
      </w:r>
    </w:p>
    <w:p w:rsidR="00B43CD2" w:rsidRPr="00B43CD2" w:rsidRDefault="00B43CD2" w:rsidP="00B43CD2">
      <w:pPr>
        <w:spacing w:line="240" w:lineRule="auto"/>
        <w:rPr>
          <w:sz w:val="24"/>
          <w:szCs w:val="24"/>
        </w:rPr>
      </w:pPr>
      <w:r w:rsidRPr="00B43CD2">
        <w:rPr>
          <w:b/>
          <w:sz w:val="24"/>
          <w:szCs w:val="24"/>
        </w:rPr>
        <w:t>Vaccines for those aged 65+:</w:t>
      </w:r>
      <w:r w:rsidRPr="00B43CD2">
        <w:rPr>
          <w:sz w:val="24"/>
          <w:szCs w:val="24"/>
        </w:rPr>
        <w:t xml:space="preserve"> two types of vaccine are appropriate; the adjuvanted trivalent vaccine (aTIV) that was used for this group this year; and you can also use the new quadrivalent cell grown vaccine (QIVc) called Flucelvax Tetra for this age group.</w:t>
      </w:r>
    </w:p>
    <w:p w:rsidR="00B43CD2" w:rsidRPr="00B43CD2" w:rsidRDefault="00B43CD2" w:rsidP="00B43CD2">
      <w:pPr>
        <w:spacing w:line="240" w:lineRule="auto"/>
        <w:rPr>
          <w:sz w:val="24"/>
          <w:szCs w:val="24"/>
        </w:rPr>
      </w:pPr>
      <w:r w:rsidRPr="00B43CD2">
        <w:rPr>
          <w:sz w:val="24"/>
          <w:szCs w:val="24"/>
        </w:rPr>
        <w:t xml:space="preserve">The three types of vaccine for adults mentioned above (aTIV, QIVe and QIVc) will all be reimbursed by NHS England. </w:t>
      </w:r>
    </w:p>
    <w:p w:rsidR="00B43CD2" w:rsidRPr="00B43CD2" w:rsidRDefault="00B43CD2" w:rsidP="00B43CD2">
      <w:pPr>
        <w:spacing w:line="240" w:lineRule="auto"/>
        <w:rPr>
          <w:b/>
          <w:sz w:val="24"/>
          <w:szCs w:val="24"/>
        </w:rPr>
      </w:pPr>
      <w:r w:rsidRPr="00B43CD2">
        <w:rPr>
          <w:b/>
          <w:sz w:val="24"/>
          <w:szCs w:val="24"/>
        </w:rPr>
        <w:t>There is a further new vaccine, high-dose trivalent vaccine (TIV-HD). Whilst this is licensed for use for those aged 65+ the cost of the vaccine means that this vaccine will not be reimbursed and therefore you should not be using it. There is a helpful table in the attachment that makes this clear.</w:t>
      </w:r>
    </w:p>
    <w:p w:rsidR="00B43CD2" w:rsidRPr="00B43CD2" w:rsidRDefault="00B43CD2" w:rsidP="00B43CD2">
      <w:pPr>
        <w:spacing w:line="240" w:lineRule="auto"/>
        <w:rPr>
          <w:sz w:val="24"/>
          <w:szCs w:val="24"/>
        </w:rPr>
      </w:pPr>
      <w:r w:rsidRPr="00B43CD2">
        <w:rPr>
          <w:sz w:val="24"/>
          <w:szCs w:val="24"/>
        </w:rPr>
        <w:t>We would ask that every practice consider both its 18-64 at risk population and its 65+ population and ensure that you have placed orders for an appropriate vaccine for at least the proportion of each cohort that you expect to immunise next year.</w:t>
      </w:r>
    </w:p>
    <w:p w:rsidR="00B43CD2" w:rsidRDefault="00B43CD2" w:rsidP="0011699F">
      <w:pPr>
        <w:spacing w:line="240" w:lineRule="auto"/>
        <w:rPr>
          <w:b/>
          <w:sz w:val="24"/>
          <w:szCs w:val="24"/>
        </w:rPr>
      </w:pPr>
    </w:p>
    <w:p w:rsidR="00305375" w:rsidRPr="002B58A7" w:rsidRDefault="00C47903" w:rsidP="0011699F">
      <w:pPr>
        <w:spacing w:line="240" w:lineRule="auto"/>
        <w:rPr>
          <w:b/>
          <w:sz w:val="24"/>
          <w:szCs w:val="24"/>
        </w:rPr>
      </w:pPr>
      <w:r w:rsidRPr="002B58A7">
        <w:rPr>
          <w:b/>
          <w:sz w:val="24"/>
          <w:szCs w:val="24"/>
        </w:rPr>
        <w:t>Egg allergy and MMR</w:t>
      </w:r>
      <w:r w:rsidR="002930A5">
        <w:rPr>
          <w:b/>
          <w:sz w:val="24"/>
          <w:szCs w:val="24"/>
        </w:rPr>
        <w:t xml:space="preserve"> – </w:t>
      </w:r>
      <w:r w:rsidR="002930A5" w:rsidRPr="002930A5">
        <w:rPr>
          <w:b/>
          <w:color w:val="00B050"/>
          <w:sz w:val="24"/>
          <w:szCs w:val="24"/>
        </w:rPr>
        <w:t>for information</w:t>
      </w:r>
    </w:p>
    <w:p w:rsidR="00C47903" w:rsidRDefault="00C47903" w:rsidP="0011699F">
      <w:pPr>
        <w:spacing w:line="240" w:lineRule="auto"/>
        <w:rPr>
          <w:sz w:val="24"/>
          <w:szCs w:val="24"/>
        </w:rPr>
      </w:pPr>
      <w:r>
        <w:rPr>
          <w:sz w:val="24"/>
          <w:szCs w:val="24"/>
        </w:rPr>
        <w:t xml:space="preserve">Egg </w:t>
      </w:r>
      <w:r w:rsidR="002B58A7">
        <w:rPr>
          <w:sz w:val="24"/>
          <w:szCs w:val="24"/>
        </w:rPr>
        <w:t>allergy</w:t>
      </w:r>
      <w:r>
        <w:rPr>
          <w:sz w:val="24"/>
          <w:szCs w:val="24"/>
        </w:rPr>
        <w:t xml:space="preserve"> is NOT a contraindication to receiving MMR.  Focussed studies have demonstrated MMR to be safe to give to all children with egg allergy</w:t>
      </w:r>
      <w:r w:rsidR="002B58A7">
        <w:rPr>
          <w:sz w:val="24"/>
          <w:szCs w:val="24"/>
        </w:rPr>
        <w:t xml:space="preserve"> - at their GP practice</w:t>
      </w:r>
      <w:r>
        <w:rPr>
          <w:sz w:val="24"/>
          <w:szCs w:val="24"/>
        </w:rPr>
        <w:t xml:space="preserve">.  Only those children who have </w:t>
      </w:r>
      <w:r w:rsidRPr="00C47903">
        <w:rPr>
          <w:sz w:val="24"/>
          <w:szCs w:val="24"/>
        </w:rPr>
        <w:t>had</w:t>
      </w:r>
      <w:r>
        <w:rPr>
          <w:sz w:val="24"/>
          <w:szCs w:val="24"/>
        </w:rPr>
        <w:t xml:space="preserve"> </w:t>
      </w:r>
      <w:r w:rsidRPr="00C47903">
        <w:rPr>
          <w:sz w:val="24"/>
          <w:szCs w:val="24"/>
        </w:rPr>
        <w:t xml:space="preserve">documented anaphylaxis </w:t>
      </w:r>
      <w:r w:rsidRPr="00C47903">
        <w:rPr>
          <w:i/>
          <w:sz w:val="24"/>
          <w:szCs w:val="24"/>
        </w:rPr>
        <w:t>to the vaccine itself</w:t>
      </w:r>
      <w:r w:rsidRPr="00C47903">
        <w:rPr>
          <w:sz w:val="24"/>
          <w:szCs w:val="24"/>
        </w:rPr>
        <w:t xml:space="preserve"> </w:t>
      </w:r>
      <w:r w:rsidR="002B58A7">
        <w:rPr>
          <w:sz w:val="24"/>
          <w:szCs w:val="24"/>
        </w:rPr>
        <w:t xml:space="preserve">(or to another component of the vaccine) </w:t>
      </w:r>
      <w:r w:rsidRPr="00C47903">
        <w:rPr>
          <w:sz w:val="24"/>
          <w:szCs w:val="24"/>
        </w:rPr>
        <w:t xml:space="preserve">should be </w:t>
      </w:r>
      <w:r>
        <w:rPr>
          <w:sz w:val="24"/>
          <w:szCs w:val="24"/>
        </w:rPr>
        <w:t>deferred</w:t>
      </w:r>
      <w:r w:rsidR="002B58A7">
        <w:rPr>
          <w:sz w:val="24"/>
          <w:szCs w:val="24"/>
        </w:rPr>
        <w:t xml:space="preserve">, </w:t>
      </w:r>
      <w:r>
        <w:rPr>
          <w:sz w:val="24"/>
          <w:szCs w:val="24"/>
        </w:rPr>
        <w:t xml:space="preserve">pending an assessment by </w:t>
      </w:r>
      <w:r w:rsidR="002B58A7">
        <w:rPr>
          <w:sz w:val="24"/>
          <w:szCs w:val="24"/>
        </w:rPr>
        <w:t xml:space="preserve">an </w:t>
      </w:r>
      <w:r>
        <w:rPr>
          <w:sz w:val="24"/>
          <w:szCs w:val="24"/>
        </w:rPr>
        <w:t>allergist.</w:t>
      </w:r>
      <w:r w:rsidR="002B58A7">
        <w:rPr>
          <w:sz w:val="24"/>
          <w:szCs w:val="24"/>
        </w:rPr>
        <w:t xml:space="preserve">  See Green Book ch 21, p220 and the </w:t>
      </w:r>
      <w:r w:rsidR="002B58A7" w:rsidRPr="002B58A7">
        <w:rPr>
          <w:sz w:val="24"/>
          <w:szCs w:val="24"/>
          <w:u w:val="single"/>
        </w:rPr>
        <w:t>Criteria for exclusion</w:t>
      </w:r>
      <w:r w:rsidR="002B58A7">
        <w:rPr>
          <w:sz w:val="24"/>
          <w:szCs w:val="24"/>
        </w:rPr>
        <w:t xml:space="preserve"> and </w:t>
      </w:r>
      <w:r w:rsidR="002B58A7" w:rsidRPr="002B58A7">
        <w:rPr>
          <w:sz w:val="24"/>
          <w:szCs w:val="24"/>
          <w:u w:val="single"/>
        </w:rPr>
        <w:t>Special considerations / additional information</w:t>
      </w:r>
      <w:r w:rsidR="002B58A7">
        <w:rPr>
          <w:sz w:val="24"/>
          <w:szCs w:val="24"/>
        </w:rPr>
        <w:t xml:space="preserve"> sections of the MMR PGD.</w:t>
      </w:r>
    </w:p>
    <w:p w:rsidR="002930A5" w:rsidRDefault="002930A5" w:rsidP="0011699F">
      <w:pPr>
        <w:spacing w:line="240" w:lineRule="auto"/>
        <w:rPr>
          <w:sz w:val="24"/>
          <w:szCs w:val="24"/>
        </w:rPr>
      </w:pPr>
    </w:p>
    <w:p w:rsidR="004F4386" w:rsidRDefault="004F4386" w:rsidP="005A275C">
      <w:pPr>
        <w:spacing w:line="240" w:lineRule="auto"/>
        <w:rPr>
          <w:b/>
          <w:sz w:val="24"/>
          <w:szCs w:val="24"/>
        </w:rPr>
      </w:pPr>
      <w:r w:rsidRPr="004F4386">
        <w:rPr>
          <w:b/>
          <w:sz w:val="24"/>
          <w:szCs w:val="24"/>
        </w:rPr>
        <w:t>•</w:t>
      </w:r>
      <w:r w:rsidRPr="004F4386">
        <w:rPr>
          <w:b/>
          <w:sz w:val="24"/>
          <w:szCs w:val="24"/>
        </w:rPr>
        <w:tab/>
        <w:t xml:space="preserve">Vaccine Update – </w:t>
      </w:r>
      <w:r w:rsidR="00F1134B" w:rsidRPr="002930A5">
        <w:rPr>
          <w:b/>
          <w:color w:val="00B050"/>
          <w:sz w:val="24"/>
          <w:szCs w:val="24"/>
        </w:rPr>
        <w:t>f</w:t>
      </w:r>
      <w:r w:rsidRPr="002930A5">
        <w:rPr>
          <w:b/>
          <w:color w:val="00B050"/>
          <w:sz w:val="24"/>
          <w:szCs w:val="24"/>
        </w:rPr>
        <w:t>or Information</w:t>
      </w:r>
    </w:p>
    <w:p w:rsidR="002930A5" w:rsidRDefault="005D2B4D" w:rsidP="005A275C">
      <w:pPr>
        <w:spacing w:line="240" w:lineRule="auto"/>
        <w:rPr>
          <w:b/>
          <w:sz w:val="24"/>
          <w:szCs w:val="24"/>
        </w:rPr>
      </w:pPr>
      <w:hyperlink r:id="rId10" w:history="1">
        <w:r w:rsidR="002930A5" w:rsidRPr="00AD7E6F">
          <w:rPr>
            <w:rStyle w:val="Hyperlink"/>
            <w:b/>
            <w:sz w:val="24"/>
            <w:szCs w:val="24"/>
          </w:rPr>
          <w:t>https://www.gov.uk/government/publications/vaccine-update-issue-289-december-2018</w:t>
        </w:r>
      </w:hyperlink>
    </w:p>
    <w:p w:rsidR="002930A5" w:rsidRDefault="002930A5" w:rsidP="005A275C">
      <w:pPr>
        <w:spacing w:line="240" w:lineRule="auto"/>
        <w:rPr>
          <w:b/>
          <w:sz w:val="24"/>
          <w:szCs w:val="24"/>
        </w:rPr>
      </w:pPr>
    </w:p>
    <w:p w:rsidR="00C84132" w:rsidRPr="002930A5" w:rsidRDefault="002439C7" w:rsidP="002439C7">
      <w:pPr>
        <w:pStyle w:val="ListParagraph"/>
        <w:numPr>
          <w:ilvl w:val="0"/>
          <w:numId w:val="7"/>
        </w:numPr>
        <w:ind w:left="142" w:hanging="142"/>
        <w:rPr>
          <w:rFonts w:asciiTheme="minorHAnsi" w:hAnsiTheme="minorHAnsi"/>
          <w:b/>
          <w:color w:val="FF0000"/>
        </w:rPr>
      </w:pPr>
      <w:r>
        <w:rPr>
          <w:rFonts w:asciiTheme="minorHAnsi" w:hAnsiTheme="minorHAnsi"/>
          <w:b/>
        </w:rPr>
        <w:lastRenderedPageBreak/>
        <w:t xml:space="preserve">          </w:t>
      </w:r>
      <w:r w:rsidR="00C84132" w:rsidRPr="00C84132">
        <w:rPr>
          <w:rFonts w:asciiTheme="minorHAnsi" w:hAnsiTheme="minorHAnsi"/>
          <w:b/>
        </w:rPr>
        <w:t>PGDs</w:t>
      </w:r>
      <w:r w:rsidR="00F1134B">
        <w:rPr>
          <w:rFonts w:asciiTheme="minorHAnsi" w:hAnsiTheme="minorHAnsi"/>
          <w:b/>
        </w:rPr>
        <w:t xml:space="preserve"> – </w:t>
      </w:r>
      <w:r w:rsidR="00F1134B" w:rsidRPr="002930A5">
        <w:rPr>
          <w:rFonts w:asciiTheme="minorHAnsi" w:hAnsiTheme="minorHAnsi"/>
          <w:b/>
          <w:color w:val="00B050"/>
        </w:rPr>
        <w:t xml:space="preserve">for information </w:t>
      </w:r>
      <w:r w:rsidR="00F1134B" w:rsidRPr="002930A5">
        <w:rPr>
          <w:rFonts w:asciiTheme="minorHAnsi" w:hAnsiTheme="minorHAnsi"/>
          <w:b/>
          <w:color w:val="FF0000"/>
        </w:rPr>
        <w:t>and action</w:t>
      </w:r>
    </w:p>
    <w:p w:rsidR="00DC3ED7" w:rsidRDefault="00DC3ED7" w:rsidP="00DC3ED7">
      <w:pPr>
        <w:pStyle w:val="ListParagraph"/>
        <w:ind w:left="142"/>
        <w:rPr>
          <w:rFonts w:asciiTheme="minorHAnsi" w:hAnsiTheme="minorHAnsi"/>
          <w:b/>
        </w:rPr>
      </w:pPr>
    </w:p>
    <w:p w:rsidR="007B092B" w:rsidRPr="003611E6" w:rsidRDefault="0045113F" w:rsidP="00DC3ED7">
      <w:pPr>
        <w:spacing w:line="240" w:lineRule="auto"/>
        <w:rPr>
          <w:b/>
          <w:sz w:val="24"/>
          <w:szCs w:val="24"/>
        </w:rPr>
      </w:pPr>
      <w:r w:rsidRPr="003611E6">
        <w:rPr>
          <w:b/>
          <w:sz w:val="24"/>
          <w:szCs w:val="24"/>
        </w:rPr>
        <w:t>PCV13</w:t>
      </w:r>
    </w:p>
    <w:p w:rsidR="00DA7D25" w:rsidRPr="003611E6" w:rsidRDefault="00DC3ED7" w:rsidP="00DC3ED7">
      <w:pPr>
        <w:spacing w:line="240" w:lineRule="auto"/>
        <w:rPr>
          <w:sz w:val="24"/>
          <w:szCs w:val="24"/>
        </w:rPr>
      </w:pPr>
      <w:r w:rsidRPr="003611E6">
        <w:rPr>
          <w:sz w:val="24"/>
          <w:szCs w:val="24"/>
        </w:rPr>
        <w:t>We have recently circulated a new PCV13 PGD to practices (also attached to this email in case you missed it).  This becomes effective from 1</w:t>
      </w:r>
      <w:r w:rsidRPr="003611E6">
        <w:rPr>
          <w:sz w:val="24"/>
          <w:szCs w:val="24"/>
          <w:vertAlign w:val="superscript"/>
        </w:rPr>
        <w:t>st</w:t>
      </w:r>
      <w:r w:rsidRPr="003611E6">
        <w:rPr>
          <w:sz w:val="24"/>
          <w:szCs w:val="24"/>
        </w:rPr>
        <w:t xml:space="preserve"> February - when the current version, plus the accompanying extension notice, will expire </w:t>
      </w:r>
      <w:r w:rsidR="00B86D55">
        <w:rPr>
          <w:sz w:val="24"/>
          <w:szCs w:val="24"/>
        </w:rPr>
        <w:t>(a</w:t>
      </w:r>
      <w:r w:rsidRPr="003611E6">
        <w:rPr>
          <w:sz w:val="24"/>
          <w:szCs w:val="24"/>
        </w:rPr>
        <w:t xml:space="preserve">nd must </w:t>
      </w:r>
      <w:r w:rsidR="00B86D55">
        <w:rPr>
          <w:sz w:val="24"/>
          <w:szCs w:val="24"/>
        </w:rPr>
        <w:t xml:space="preserve">be withdrawn </w:t>
      </w:r>
      <w:r w:rsidRPr="003611E6">
        <w:rPr>
          <w:sz w:val="24"/>
          <w:szCs w:val="24"/>
        </w:rPr>
        <w:t xml:space="preserve">but retained as per NHS medical records policy - see our PGD webpage for details of the latter).  We will </w:t>
      </w:r>
      <w:r w:rsidR="003611E6" w:rsidRPr="003611E6">
        <w:rPr>
          <w:sz w:val="24"/>
          <w:szCs w:val="24"/>
        </w:rPr>
        <w:t>soon</w:t>
      </w:r>
      <w:r w:rsidRPr="003611E6">
        <w:rPr>
          <w:sz w:val="24"/>
          <w:szCs w:val="24"/>
        </w:rPr>
        <w:t xml:space="preserve"> publish the new PGD on our webpag</w:t>
      </w:r>
      <w:r w:rsidR="003611E6" w:rsidRPr="003611E6">
        <w:rPr>
          <w:sz w:val="24"/>
          <w:szCs w:val="24"/>
        </w:rPr>
        <w:t>e</w:t>
      </w:r>
      <w:r w:rsidRPr="003611E6">
        <w:rPr>
          <w:sz w:val="24"/>
          <w:szCs w:val="24"/>
        </w:rPr>
        <w:t>.</w:t>
      </w:r>
      <w:bookmarkStart w:id="0" w:name="_GoBack"/>
      <w:bookmarkEnd w:id="0"/>
    </w:p>
    <w:p w:rsidR="00DC3ED7" w:rsidRPr="003611E6" w:rsidRDefault="00DC3ED7" w:rsidP="00DC3ED7">
      <w:pPr>
        <w:pStyle w:val="ListParagraph"/>
        <w:spacing w:line="240" w:lineRule="auto"/>
        <w:ind w:left="142"/>
        <w:rPr>
          <w:rFonts w:asciiTheme="minorHAnsi" w:hAnsiTheme="minorHAnsi"/>
        </w:rPr>
      </w:pPr>
    </w:p>
    <w:p w:rsidR="006377FF" w:rsidRPr="003611E6" w:rsidRDefault="00DA7D25" w:rsidP="00DC3ED7">
      <w:pPr>
        <w:spacing w:line="240" w:lineRule="auto"/>
        <w:rPr>
          <w:b/>
          <w:sz w:val="24"/>
          <w:szCs w:val="24"/>
        </w:rPr>
      </w:pPr>
      <w:r w:rsidRPr="003611E6">
        <w:rPr>
          <w:b/>
          <w:sz w:val="24"/>
          <w:szCs w:val="24"/>
        </w:rPr>
        <w:t>PGD</w:t>
      </w:r>
      <w:r w:rsidR="006377FF" w:rsidRPr="003611E6">
        <w:rPr>
          <w:b/>
          <w:sz w:val="24"/>
          <w:szCs w:val="24"/>
        </w:rPr>
        <w:t>s shortly due for renewal</w:t>
      </w:r>
    </w:p>
    <w:p w:rsidR="00C84132" w:rsidRPr="003611E6" w:rsidRDefault="001D4B1A" w:rsidP="00DC3ED7">
      <w:pPr>
        <w:spacing w:line="240" w:lineRule="auto"/>
        <w:rPr>
          <w:sz w:val="24"/>
          <w:szCs w:val="24"/>
        </w:rPr>
      </w:pPr>
      <w:r w:rsidRPr="003611E6">
        <w:rPr>
          <w:sz w:val="24"/>
          <w:szCs w:val="24"/>
        </w:rPr>
        <w:t xml:space="preserve">The following </w:t>
      </w:r>
      <w:r w:rsidR="00DA7D25" w:rsidRPr="003611E6">
        <w:rPr>
          <w:sz w:val="24"/>
          <w:szCs w:val="24"/>
        </w:rPr>
        <w:t xml:space="preserve">PGDs </w:t>
      </w:r>
      <w:r w:rsidR="0045113F" w:rsidRPr="003611E6">
        <w:rPr>
          <w:sz w:val="24"/>
          <w:szCs w:val="24"/>
        </w:rPr>
        <w:t xml:space="preserve">have been </w:t>
      </w:r>
      <w:r w:rsidRPr="003611E6">
        <w:rPr>
          <w:sz w:val="24"/>
          <w:szCs w:val="24"/>
        </w:rPr>
        <w:t xml:space="preserve">reviewed </w:t>
      </w:r>
      <w:r w:rsidR="0045113F" w:rsidRPr="003611E6">
        <w:rPr>
          <w:sz w:val="24"/>
          <w:szCs w:val="24"/>
        </w:rPr>
        <w:t xml:space="preserve">and updated </w:t>
      </w:r>
      <w:r w:rsidRPr="003611E6">
        <w:rPr>
          <w:sz w:val="24"/>
          <w:szCs w:val="24"/>
        </w:rPr>
        <w:t>by PHE</w:t>
      </w:r>
      <w:r w:rsidR="0045113F" w:rsidRPr="003611E6">
        <w:rPr>
          <w:sz w:val="24"/>
          <w:szCs w:val="24"/>
        </w:rPr>
        <w:t xml:space="preserve">, and will be published </w:t>
      </w:r>
      <w:r w:rsidR="00DA7D25" w:rsidRPr="003611E6">
        <w:rPr>
          <w:sz w:val="24"/>
          <w:szCs w:val="24"/>
        </w:rPr>
        <w:t xml:space="preserve">and sent to practices </w:t>
      </w:r>
      <w:r w:rsidR="0045113F" w:rsidRPr="003611E6">
        <w:rPr>
          <w:sz w:val="24"/>
          <w:szCs w:val="24"/>
        </w:rPr>
        <w:t>in good time to replace th</w:t>
      </w:r>
      <w:r w:rsidR="00DA7D25" w:rsidRPr="003611E6">
        <w:rPr>
          <w:sz w:val="24"/>
          <w:szCs w:val="24"/>
        </w:rPr>
        <w:t>ose</w:t>
      </w:r>
      <w:r w:rsidR="0045113F" w:rsidRPr="003611E6">
        <w:rPr>
          <w:sz w:val="24"/>
          <w:szCs w:val="24"/>
        </w:rPr>
        <w:t xml:space="preserve"> due to expire: MenACWY for risk groups</w:t>
      </w:r>
      <w:r w:rsidR="00DA7D25" w:rsidRPr="003611E6">
        <w:rPr>
          <w:sz w:val="24"/>
          <w:szCs w:val="24"/>
        </w:rPr>
        <w:t xml:space="preserve">, </w:t>
      </w:r>
      <w:r w:rsidR="0045113F" w:rsidRPr="003611E6">
        <w:rPr>
          <w:sz w:val="24"/>
          <w:szCs w:val="24"/>
        </w:rPr>
        <w:t>Men B routine</w:t>
      </w:r>
      <w:r w:rsidR="00DA7D25" w:rsidRPr="003611E6">
        <w:rPr>
          <w:sz w:val="24"/>
          <w:szCs w:val="24"/>
        </w:rPr>
        <w:t xml:space="preserve">, </w:t>
      </w:r>
      <w:r w:rsidR="0045113F" w:rsidRPr="003611E6">
        <w:rPr>
          <w:sz w:val="24"/>
          <w:szCs w:val="24"/>
        </w:rPr>
        <w:t xml:space="preserve">Men </w:t>
      </w:r>
      <w:r w:rsidR="00DA7D25" w:rsidRPr="003611E6">
        <w:rPr>
          <w:sz w:val="24"/>
          <w:szCs w:val="24"/>
        </w:rPr>
        <w:t xml:space="preserve">B </w:t>
      </w:r>
      <w:r w:rsidR="0045113F" w:rsidRPr="003611E6">
        <w:rPr>
          <w:sz w:val="24"/>
          <w:szCs w:val="24"/>
        </w:rPr>
        <w:t>for risk groups - all due from 1</w:t>
      </w:r>
      <w:r w:rsidR="0045113F" w:rsidRPr="003611E6">
        <w:rPr>
          <w:sz w:val="24"/>
          <w:szCs w:val="24"/>
          <w:vertAlign w:val="superscript"/>
        </w:rPr>
        <w:t>st</w:t>
      </w:r>
      <w:r w:rsidR="0045113F" w:rsidRPr="003611E6">
        <w:rPr>
          <w:sz w:val="24"/>
          <w:szCs w:val="24"/>
        </w:rPr>
        <w:t xml:space="preserve"> March</w:t>
      </w:r>
      <w:r w:rsidR="00DA7D25" w:rsidRPr="003611E6">
        <w:rPr>
          <w:sz w:val="24"/>
          <w:szCs w:val="24"/>
        </w:rPr>
        <w:t>; P</w:t>
      </w:r>
      <w:r w:rsidRPr="003611E6">
        <w:rPr>
          <w:sz w:val="24"/>
          <w:szCs w:val="24"/>
        </w:rPr>
        <w:t>ertussis in pregnancy</w:t>
      </w:r>
      <w:r w:rsidR="0045113F" w:rsidRPr="003611E6">
        <w:rPr>
          <w:sz w:val="24"/>
          <w:szCs w:val="24"/>
        </w:rPr>
        <w:t xml:space="preserve"> a</w:t>
      </w:r>
      <w:r w:rsidRPr="003611E6">
        <w:rPr>
          <w:sz w:val="24"/>
          <w:szCs w:val="24"/>
        </w:rPr>
        <w:t xml:space="preserve">nd </w:t>
      </w:r>
      <w:r w:rsidR="00DA7D25" w:rsidRPr="003611E6">
        <w:rPr>
          <w:sz w:val="24"/>
          <w:szCs w:val="24"/>
        </w:rPr>
        <w:t>S</w:t>
      </w:r>
      <w:r w:rsidRPr="003611E6">
        <w:rPr>
          <w:sz w:val="24"/>
          <w:szCs w:val="24"/>
        </w:rPr>
        <w:t xml:space="preserve">hingles </w:t>
      </w:r>
      <w:r w:rsidR="00DA7D25" w:rsidRPr="003611E6">
        <w:rPr>
          <w:sz w:val="24"/>
          <w:szCs w:val="24"/>
        </w:rPr>
        <w:t>- both due from 1</w:t>
      </w:r>
      <w:r w:rsidR="00DA7D25" w:rsidRPr="003611E6">
        <w:rPr>
          <w:sz w:val="24"/>
          <w:szCs w:val="24"/>
          <w:vertAlign w:val="superscript"/>
        </w:rPr>
        <w:t>st</w:t>
      </w:r>
      <w:r w:rsidR="00DA7D25" w:rsidRPr="003611E6">
        <w:rPr>
          <w:sz w:val="24"/>
          <w:szCs w:val="24"/>
        </w:rPr>
        <w:t xml:space="preserve"> April.</w:t>
      </w:r>
    </w:p>
    <w:p w:rsidR="00B43CD2" w:rsidRDefault="00B43CD2" w:rsidP="00DC3ED7">
      <w:pPr>
        <w:spacing w:line="240" w:lineRule="auto"/>
        <w:rPr>
          <w:b/>
          <w:sz w:val="24"/>
          <w:szCs w:val="24"/>
        </w:rPr>
      </w:pPr>
    </w:p>
    <w:p w:rsidR="00DA7D25" w:rsidRPr="003611E6" w:rsidRDefault="00DC3ED7" w:rsidP="00DC3ED7">
      <w:pPr>
        <w:spacing w:line="240" w:lineRule="auto"/>
        <w:rPr>
          <w:b/>
          <w:sz w:val="24"/>
          <w:szCs w:val="24"/>
        </w:rPr>
      </w:pPr>
      <w:r w:rsidRPr="003611E6">
        <w:rPr>
          <w:b/>
          <w:sz w:val="24"/>
          <w:szCs w:val="24"/>
        </w:rPr>
        <w:t>PGD use in the event of a cold chain breach</w:t>
      </w:r>
    </w:p>
    <w:p w:rsidR="006377FF" w:rsidRPr="003611E6" w:rsidRDefault="006377FF" w:rsidP="00DC3ED7">
      <w:pPr>
        <w:spacing w:line="240" w:lineRule="auto"/>
        <w:rPr>
          <w:sz w:val="24"/>
          <w:szCs w:val="24"/>
        </w:rPr>
      </w:pPr>
      <w:r w:rsidRPr="003611E6">
        <w:rPr>
          <w:sz w:val="24"/>
          <w:szCs w:val="24"/>
        </w:rPr>
        <w:t xml:space="preserve">The </w:t>
      </w:r>
      <w:r w:rsidRPr="003611E6">
        <w:rPr>
          <w:sz w:val="24"/>
          <w:szCs w:val="24"/>
          <w:u w:val="single"/>
        </w:rPr>
        <w:t>Off-label use</w:t>
      </w:r>
      <w:r w:rsidRPr="003611E6">
        <w:rPr>
          <w:sz w:val="24"/>
          <w:szCs w:val="24"/>
        </w:rPr>
        <w:t xml:space="preserve"> section of the newer PGDs contains the following wording that allows for administration of </w:t>
      </w:r>
      <w:r w:rsidR="00B868F0" w:rsidRPr="003611E6">
        <w:rPr>
          <w:sz w:val="24"/>
          <w:szCs w:val="24"/>
        </w:rPr>
        <w:t xml:space="preserve">vaccines that have been subject to a cold chain </w:t>
      </w:r>
      <w:r w:rsidRPr="003611E6">
        <w:rPr>
          <w:sz w:val="24"/>
          <w:szCs w:val="24"/>
        </w:rPr>
        <w:t xml:space="preserve">breach but </w:t>
      </w:r>
      <w:r w:rsidR="00B868F0" w:rsidRPr="003611E6">
        <w:rPr>
          <w:sz w:val="24"/>
          <w:szCs w:val="24"/>
        </w:rPr>
        <w:t>remain</w:t>
      </w:r>
      <w:r w:rsidRPr="003611E6">
        <w:rPr>
          <w:sz w:val="24"/>
          <w:szCs w:val="24"/>
        </w:rPr>
        <w:t xml:space="preserve"> effective - as long as you have first taken the advice of the manufacturer(s).  If the</w:t>
      </w:r>
      <w:r w:rsidR="00B868F0" w:rsidRPr="003611E6">
        <w:rPr>
          <w:sz w:val="24"/>
          <w:szCs w:val="24"/>
        </w:rPr>
        <w:t xml:space="preserve"> latter </w:t>
      </w:r>
      <w:r w:rsidRPr="003611E6">
        <w:rPr>
          <w:sz w:val="24"/>
          <w:szCs w:val="24"/>
        </w:rPr>
        <w:t>tell you that the vaccine remains viable, and as long as you adhere to any additional conditions that they stipulate (e.g. shortened expiry dates) the PGD will cover you do use them:</w:t>
      </w:r>
    </w:p>
    <w:p w:rsidR="006377FF" w:rsidRPr="003611E6" w:rsidRDefault="006377FF" w:rsidP="00DC3ED7">
      <w:pPr>
        <w:spacing w:line="240" w:lineRule="auto"/>
        <w:rPr>
          <w:i/>
          <w:sz w:val="24"/>
          <w:szCs w:val="24"/>
        </w:rPr>
      </w:pPr>
      <w:r w:rsidRPr="003611E6">
        <w:rPr>
          <w:i/>
          <w:sz w:val="24"/>
          <w:szCs w:val="24"/>
        </w:rPr>
        <w:t>“Vaccine should be stored according to the conditions detailed in the Storage section below. However, in the event of an inadvertent or unavoidable deviation of these conditions refer to PHE Vaccine Incident Guidance. Where vaccine is assessed in accordance with these guidelines as appropriate for continued use this would constitute off-label administration under this PGD.”</w:t>
      </w:r>
    </w:p>
    <w:p w:rsidR="00DC3ED7" w:rsidRPr="003611E6" w:rsidRDefault="006377FF" w:rsidP="00DC3ED7">
      <w:pPr>
        <w:spacing w:line="240" w:lineRule="auto"/>
        <w:rPr>
          <w:sz w:val="24"/>
          <w:szCs w:val="24"/>
        </w:rPr>
      </w:pPr>
      <w:r w:rsidRPr="003611E6">
        <w:rPr>
          <w:sz w:val="24"/>
          <w:szCs w:val="24"/>
        </w:rPr>
        <w:t xml:space="preserve">Eventually this wording will make its way into all </w:t>
      </w:r>
      <w:r w:rsidR="00B868F0" w:rsidRPr="003611E6">
        <w:rPr>
          <w:sz w:val="24"/>
          <w:szCs w:val="24"/>
        </w:rPr>
        <w:t>PGDs</w:t>
      </w:r>
      <w:r w:rsidR="00DC3ED7" w:rsidRPr="003611E6">
        <w:rPr>
          <w:sz w:val="24"/>
          <w:szCs w:val="24"/>
        </w:rPr>
        <w:t>,</w:t>
      </w:r>
      <w:r w:rsidR="00B868F0" w:rsidRPr="003611E6">
        <w:rPr>
          <w:sz w:val="24"/>
          <w:szCs w:val="24"/>
        </w:rPr>
        <w:t xml:space="preserve"> and we are hopeful that this will</w:t>
      </w:r>
      <w:r w:rsidRPr="003611E6">
        <w:rPr>
          <w:sz w:val="24"/>
          <w:szCs w:val="24"/>
        </w:rPr>
        <w:t xml:space="preserve"> reduce wastage of otherwise viable vaccines </w:t>
      </w:r>
      <w:r w:rsidR="00B868F0" w:rsidRPr="003611E6">
        <w:rPr>
          <w:sz w:val="24"/>
          <w:szCs w:val="24"/>
        </w:rPr>
        <w:t xml:space="preserve">by minimising the administrative burden </w:t>
      </w:r>
      <w:r w:rsidR="00DC3ED7" w:rsidRPr="003611E6">
        <w:rPr>
          <w:sz w:val="24"/>
          <w:szCs w:val="24"/>
        </w:rPr>
        <w:t xml:space="preserve">(i.e. the need for PSDs) </w:t>
      </w:r>
      <w:r w:rsidR="00B868F0" w:rsidRPr="003611E6">
        <w:rPr>
          <w:sz w:val="24"/>
          <w:szCs w:val="24"/>
        </w:rPr>
        <w:t>on practices when a cold chain breach occurs.</w:t>
      </w:r>
    </w:p>
    <w:p w:rsidR="00B43CD2" w:rsidRDefault="00B43CD2" w:rsidP="00DC3ED7">
      <w:pPr>
        <w:spacing w:line="240" w:lineRule="auto"/>
        <w:rPr>
          <w:b/>
          <w:sz w:val="24"/>
          <w:szCs w:val="24"/>
        </w:rPr>
      </w:pPr>
    </w:p>
    <w:p w:rsidR="00DA7D25" w:rsidRPr="003611E6" w:rsidRDefault="00DA7D25" w:rsidP="00DC3ED7">
      <w:pPr>
        <w:spacing w:line="240" w:lineRule="auto"/>
        <w:rPr>
          <w:b/>
          <w:sz w:val="24"/>
          <w:szCs w:val="24"/>
        </w:rPr>
      </w:pPr>
      <w:r w:rsidRPr="003611E6">
        <w:rPr>
          <w:b/>
          <w:sz w:val="24"/>
          <w:szCs w:val="24"/>
        </w:rPr>
        <w:t>PGD webpage</w:t>
      </w:r>
    </w:p>
    <w:p w:rsidR="00DA7D25" w:rsidRPr="003611E6" w:rsidRDefault="00DA7D25" w:rsidP="00DC3ED7">
      <w:pPr>
        <w:spacing w:line="240" w:lineRule="auto"/>
        <w:rPr>
          <w:sz w:val="24"/>
          <w:szCs w:val="24"/>
        </w:rPr>
      </w:pPr>
      <w:r w:rsidRPr="003611E6">
        <w:rPr>
          <w:sz w:val="24"/>
          <w:szCs w:val="24"/>
        </w:rPr>
        <w:t xml:space="preserve">We </w:t>
      </w:r>
      <w:r w:rsidR="00B86D55">
        <w:rPr>
          <w:sz w:val="24"/>
          <w:szCs w:val="24"/>
        </w:rPr>
        <w:t>intend to</w:t>
      </w:r>
      <w:r w:rsidRPr="003611E6">
        <w:rPr>
          <w:sz w:val="24"/>
          <w:szCs w:val="24"/>
        </w:rPr>
        <w:t xml:space="preserve"> review/ updat</w:t>
      </w:r>
      <w:r w:rsidR="00B86D55">
        <w:rPr>
          <w:sz w:val="24"/>
          <w:szCs w:val="24"/>
        </w:rPr>
        <w:t>e</w:t>
      </w:r>
      <w:r w:rsidRPr="003611E6">
        <w:rPr>
          <w:sz w:val="24"/>
          <w:szCs w:val="24"/>
        </w:rPr>
        <w:t xml:space="preserve"> the content and layout of our PGD webpage</w:t>
      </w:r>
      <w:r w:rsidR="00B86D55">
        <w:rPr>
          <w:sz w:val="24"/>
          <w:szCs w:val="24"/>
        </w:rPr>
        <w:t xml:space="preserve"> in the course of the next few weeks.</w:t>
      </w:r>
    </w:p>
    <w:p w:rsidR="00B43CD2" w:rsidRDefault="00B43CD2" w:rsidP="00E41442">
      <w:pPr>
        <w:spacing w:after="0" w:line="270" w:lineRule="atLeast"/>
        <w:rPr>
          <w:sz w:val="24"/>
          <w:szCs w:val="24"/>
        </w:rPr>
      </w:pPr>
    </w:p>
    <w:p w:rsidR="00B43CD2" w:rsidRDefault="00B43CD2" w:rsidP="00E41442">
      <w:pPr>
        <w:spacing w:after="0" w:line="270" w:lineRule="atLeast"/>
        <w:rPr>
          <w:sz w:val="24"/>
          <w:szCs w:val="24"/>
        </w:rPr>
      </w:pPr>
    </w:p>
    <w:p w:rsidR="00E41442" w:rsidRDefault="000A7581" w:rsidP="00E41442">
      <w:pPr>
        <w:spacing w:after="0" w:line="270" w:lineRule="atLeast"/>
        <w:rPr>
          <w:sz w:val="24"/>
          <w:szCs w:val="24"/>
          <w:u w:val="single"/>
        </w:rPr>
      </w:pPr>
      <w:r w:rsidRPr="00E41442">
        <w:rPr>
          <w:sz w:val="24"/>
          <w:szCs w:val="24"/>
        </w:rPr>
        <w:t>………………………………………………………………………………………………………………………</w:t>
      </w:r>
      <w:r w:rsidR="00E41442" w:rsidRPr="00E41442">
        <w:rPr>
          <w:sz w:val="24"/>
          <w:szCs w:val="24"/>
        </w:rPr>
        <w:t>…………….</w:t>
      </w:r>
      <w:r w:rsidRPr="00E41442">
        <w:rPr>
          <w:sz w:val="24"/>
          <w:szCs w:val="24"/>
        </w:rPr>
        <w:t>….</w:t>
      </w:r>
    </w:p>
    <w:p w:rsidR="00E41442" w:rsidRDefault="00E41442" w:rsidP="00E41442">
      <w:pPr>
        <w:spacing w:after="0" w:line="270" w:lineRule="atLeast"/>
        <w:rPr>
          <w:sz w:val="24"/>
          <w:szCs w:val="24"/>
          <w:u w:val="single"/>
        </w:rPr>
      </w:pPr>
    </w:p>
    <w:p w:rsidR="00B43CD2" w:rsidRDefault="00B43CD2" w:rsidP="00E41442">
      <w:pPr>
        <w:spacing w:after="0" w:line="270" w:lineRule="atLeast"/>
        <w:rPr>
          <w:sz w:val="24"/>
          <w:szCs w:val="24"/>
          <w:u w:val="single"/>
        </w:rPr>
      </w:pPr>
    </w:p>
    <w:p w:rsidR="00B43CD2" w:rsidRDefault="00B43CD2" w:rsidP="00E41442">
      <w:pPr>
        <w:spacing w:after="0" w:line="270" w:lineRule="atLeast"/>
        <w:rPr>
          <w:sz w:val="24"/>
          <w:szCs w:val="24"/>
          <w:u w:val="single"/>
        </w:rPr>
      </w:pPr>
    </w:p>
    <w:p w:rsidR="00B43CD2" w:rsidRDefault="00B43CD2" w:rsidP="00E41442">
      <w:pPr>
        <w:spacing w:after="0" w:line="270" w:lineRule="atLeast"/>
        <w:rPr>
          <w:sz w:val="24"/>
          <w:szCs w:val="24"/>
          <w:u w:val="single"/>
        </w:rPr>
      </w:pPr>
    </w:p>
    <w:p w:rsidR="00B43CD2" w:rsidRDefault="00B43CD2" w:rsidP="00E41442">
      <w:pPr>
        <w:spacing w:after="0" w:line="270" w:lineRule="atLeast"/>
        <w:rPr>
          <w:sz w:val="24"/>
          <w:szCs w:val="24"/>
          <w:u w:val="single"/>
        </w:rPr>
      </w:pPr>
    </w:p>
    <w:p w:rsidR="00B43CD2" w:rsidRDefault="00B43CD2" w:rsidP="00E41442">
      <w:pPr>
        <w:spacing w:after="0" w:line="270" w:lineRule="atLeast"/>
        <w:rPr>
          <w:sz w:val="24"/>
          <w:szCs w:val="24"/>
          <w:u w:val="single"/>
        </w:rPr>
      </w:pPr>
    </w:p>
    <w:p w:rsidR="003A3E54" w:rsidRDefault="003A3E54" w:rsidP="00E41442">
      <w:pPr>
        <w:spacing w:after="0" w:line="270" w:lineRule="atLeast"/>
        <w:rPr>
          <w:b/>
          <w:sz w:val="24"/>
          <w:szCs w:val="24"/>
          <w:u w:val="single"/>
        </w:rPr>
      </w:pPr>
      <w:r w:rsidRPr="005440D8">
        <w:rPr>
          <w:b/>
          <w:sz w:val="24"/>
          <w:szCs w:val="24"/>
          <w:u w:val="single"/>
        </w:rPr>
        <w:t>Immunisation Specifications and Contracts</w:t>
      </w:r>
    </w:p>
    <w:p w:rsidR="00303830" w:rsidRDefault="00303830" w:rsidP="00E41442">
      <w:pPr>
        <w:spacing w:after="0" w:line="270" w:lineRule="atLeast"/>
        <w:rPr>
          <w:b/>
          <w:sz w:val="24"/>
          <w:szCs w:val="24"/>
          <w:u w:val="single"/>
        </w:rPr>
      </w:pPr>
    </w:p>
    <w:p w:rsidR="00C33B6E" w:rsidRPr="0011699F" w:rsidRDefault="00C33B6E" w:rsidP="00C33B6E">
      <w:pPr>
        <w:spacing w:line="240" w:lineRule="auto"/>
        <w:rPr>
          <w:b/>
          <w:sz w:val="24"/>
          <w:szCs w:val="24"/>
        </w:rPr>
      </w:pPr>
      <w:r>
        <w:rPr>
          <w:b/>
          <w:sz w:val="24"/>
          <w:szCs w:val="24"/>
        </w:rPr>
        <w:t xml:space="preserve">Commercially available template/ search inaccuracies (e.g. </w:t>
      </w:r>
      <w:r w:rsidRPr="0011699F">
        <w:rPr>
          <w:b/>
          <w:sz w:val="24"/>
          <w:szCs w:val="24"/>
        </w:rPr>
        <w:t>MenACWY eligibility</w:t>
      </w:r>
      <w:r>
        <w:rPr>
          <w:b/>
          <w:sz w:val="24"/>
          <w:szCs w:val="24"/>
        </w:rPr>
        <w:t>)</w:t>
      </w:r>
    </w:p>
    <w:p w:rsidR="00235126" w:rsidRPr="00AC289E" w:rsidRDefault="00C33B6E" w:rsidP="00C33B6E">
      <w:pPr>
        <w:spacing w:line="240" w:lineRule="auto"/>
      </w:pPr>
      <w:r>
        <w:rPr>
          <w:sz w:val="24"/>
          <w:szCs w:val="24"/>
        </w:rPr>
        <w:t xml:space="preserve">It’s been brought to our attention that a commercially available template is flagging all those under 25 as eligible for MenACWY.  This is not the case.  The attached slide shows the current eligibility criteria.  We suggest a degree of caution when using commercially produced templates and </w:t>
      </w:r>
      <w:r w:rsidR="009B0F8D">
        <w:rPr>
          <w:sz w:val="24"/>
          <w:szCs w:val="24"/>
        </w:rPr>
        <w:t>searches,</w:t>
      </w:r>
      <w:r>
        <w:rPr>
          <w:sz w:val="24"/>
          <w:szCs w:val="24"/>
        </w:rPr>
        <w:t xml:space="preserve"> as they are not always totally aligned with the service specifications.  We also urge you to flag any discrepancies to the provider of such templates/ searches - we have no power to effect the necessary changes and you pay them to provide tools to make your life easier, so they need to be accurate.  Please ask if you are uncertain about eligibility criteria for any vaccination - we know that it’s a minefield!</w:t>
      </w:r>
    </w:p>
    <w:p w:rsidR="000A7581" w:rsidRDefault="00C33B6E" w:rsidP="00E41442">
      <w:pPr>
        <w:spacing w:after="0" w:line="270" w:lineRule="atLeast"/>
        <w:rPr>
          <w:sz w:val="24"/>
          <w:szCs w:val="24"/>
        </w:rPr>
      </w:pPr>
      <w:r>
        <w:object w:dxaOrig="1531" w:dyaOrig="990">
          <v:shape id="_x0000_i1025" type="#_x0000_t75" style="width:76.2pt;height:49.8pt" o:ole="">
            <v:imagedata r:id="rId11" o:title=""/>
          </v:shape>
          <o:OLEObject Type="Embed" ProgID="PowerPoint.Show.12" ShapeID="_x0000_i1025" DrawAspect="Icon" ObjectID="_1609921546" r:id="rId12"/>
        </w:object>
      </w:r>
    </w:p>
    <w:p w:rsidR="003A3E54" w:rsidRPr="005440D8" w:rsidRDefault="000A7581" w:rsidP="00E41442">
      <w:pPr>
        <w:spacing w:after="0" w:line="270" w:lineRule="atLeast"/>
        <w:rPr>
          <w:sz w:val="24"/>
          <w:szCs w:val="24"/>
        </w:rPr>
      </w:pPr>
      <w:r>
        <w:rPr>
          <w:sz w:val="24"/>
          <w:szCs w:val="24"/>
        </w:rPr>
        <w:t>………………………………………………………………………………………………………………………………………………</w:t>
      </w:r>
      <w:r w:rsidR="003A3E54" w:rsidRPr="005440D8">
        <w:rPr>
          <w:sz w:val="24"/>
          <w:szCs w:val="24"/>
        </w:rPr>
        <w:t xml:space="preserve"> </w:t>
      </w:r>
    </w:p>
    <w:p w:rsidR="00E41442" w:rsidRDefault="00E41442" w:rsidP="00E41442">
      <w:pPr>
        <w:spacing w:after="0" w:line="270" w:lineRule="atLeast"/>
        <w:rPr>
          <w:b/>
          <w:sz w:val="24"/>
          <w:szCs w:val="24"/>
          <w:u w:val="single"/>
        </w:rPr>
      </w:pPr>
    </w:p>
    <w:p w:rsidR="003A3E54" w:rsidRDefault="003A3E54" w:rsidP="00E41442">
      <w:pPr>
        <w:spacing w:after="0" w:line="270" w:lineRule="atLeast"/>
        <w:rPr>
          <w:b/>
          <w:sz w:val="24"/>
          <w:szCs w:val="24"/>
        </w:rPr>
      </w:pPr>
      <w:r w:rsidRPr="005440D8">
        <w:rPr>
          <w:b/>
          <w:sz w:val="24"/>
          <w:szCs w:val="24"/>
        </w:rPr>
        <w:t>Screening and Immunisation Team – where to direct your queries</w:t>
      </w:r>
    </w:p>
    <w:p w:rsidR="00E41442" w:rsidRPr="005440D8" w:rsidRDefault="00E41442" w:rsidP="00E41442">
      <w:pPr>
        <w:spacing w:after="0" w:line="270" w:lineRule="atLeast"/>
        <w:rPr>
          <w:b/>
          <w:sz w:val="24"/>
          <w:szCs w:val="24"/>
        </w:rPr>
      </w:pPr>
    </w:p>
    <w:p w:rsidR="00C359D0" w:rsidRPr="00C359D0" w:rsidRDefault="00C359D0" w:rsidP="00E41442">
      <w:pPr>
        <w:spacing w:after="0" w:line="270" w:lineRule="atLeast"/>
        <w:rPr>
          <w:rFonts w:ascii="Calibri" w:eastAsia="Calibri" w:hAnsi="Calibri" w:cs="Times New Roman"/>
          <w:color w:val="000000" w:themeColor="text1"/>
        </w:rPr>
      </w:pPr>
      <w:r w:rsidRPr="00C359D0">
        <w:rPr>
          <w:rFonts w:ascii="Calibri" w:eastAsia="Calibri" w:hAnsi="Calibri" w:cs="Times New Roman"/>
          <w:sz w:val="24"/>
          <w:szCs w:val="24"/>
        </w:rPr>
        <w:t xml:space="preserve">General immunisation queries and any problems with immunisation payments and claims can be directed to </w:t>
      </w:r>
      <w:hyperlink r:id="rId13" w:history="1">
        <w:r w:rsidR="003611E6" w:rsidRPr="00EB0995">
          <w:rPr>
            <w:rStyle w:val="Hyperlink"/>
            <w:rFonts w:ascii="Calibri" w:eastAsia="Calibri" w:hAnsi="Calibri" w:cs="Times New Roman"/>
            <w:sz w:val="24"/>
            <w:szCs w:val="24"/>
          </w:rPr>
          <w:t>england.llimms@nhs.net</w:t>
        </w:r>
      </w:hyperlink>
      <w:r w:rsidR="003611E6">
        <w:rPr>
          <w:rFonts w:ascii="Calibri" w:eastAsia="Calibri" w:hAnsi="Calibri" w:cs="Times New Roman"/>
          <w:sz w:val="24"/>
          <w:szCs w:val="24"/>
        </w:rPr>
        <w:t xml:space="preserve"> </w:t>
      </w:r>
      <w:r w:rsidRPr="00C359D0">
        <w:rPr>
          <w:rFonts w:ascii="Calibri" w:eastAsia="Calibri" w:hAnsi="Calibri" w:cs="Times New Roman"/>
          <w:sz w:val="24"/>
          <w:szCs w:val="24"/>
        </w:rPr>
        <w:t xml:space="preserve">and PGDs can be found on our website </w:t>
      </w:r>
      <w:hyperlink r:id="rId14" w:history="1">
        <w:r w:rsidRPr="00C359D0">
          <w:rPr>
            <w:rFonts w:ascii="Calibri" w:eastAsia="Calibri" w:hAnsi="Calibri" w:cs="Times New Roman"/>
            <w:color w:val="0000FF"/>
            <w:u w:val="single"/>
          </w:rPr>
          <w:t>https://www.england.nhs.uk/mids-east/info-professionals/ll-immunisation/</w:t>
        </w:r>
      </w:hyperlink>
      <w:r w:rsidRPr="00C359D0">
        <w:rPr>
          <w:rFonts w:ascii="Calibri" w:eastAsia="Calibri" w:hAnsi="Calibri" w:cs="Times New Roman"/>
          <w:color w:val="1F497D"/>
        </w:rPr>
        <w:t>.</w:t>
      </w:r>
    </w:p>
    <w:p w:rsidR="00C359D0" w:rsidRPr="00C359D0" w:rsidRDefault="00C359D0" w:rsidP="00E41442">
      <w:pPr>
        <w:spacing w:after="0" w:line="270" w:lineRule="atLeast"/>
        <w:rPr>
          <w:rFonts w:ascii="Calibri" w:eastAsia="Calibri" w:hAnsi="Calibri" w:cs="Times New Roman"/>
          <w:color w:val="000000" w:themeColor="text1"/>
        </w:rPr>
      </w:pPr>
    </w:p>
    <w:p w:rsidR="003A3E54" w:rsidRPr="000A7581" w:rsidRDefault="003A3E54" w:rsidP="00E41442">
      <w:pPr>
        <w:spacing w:after="0" w:line="270" w:lineRule="atLeast"/>
        <w:rPr>
          <w:sz w:val="24"/>
          <w:szCs w:val="24"/>
        </w:rPr>
      </w:pPr>
      <w:r w:rsidRPr="000A7581">
        <w:rPr>
          <w:b/>
          <w:sz w:val="24"/>
          <w:szCs w:val="24"/>
        </w:rPr>
        <w:t>General enquiries to</w:t>
      </w:r>
      <w:r w:rsidRPr="000A7581">
        <w:rPr>
          <w:sz w:val="24"/>
          <w:szCs w:val="24"/>
        </w:rPr>
        <w:t xml:space="preserve"> – </w:t>
      </w:r>
    </w:p>
    <w:p w:rsidR="003A3E54" w:rsidRPr="000A7581" w:rsidRDefault="003A3E54" w:rsidP="00E41442">
      <w:pPr>
        <w:spacing w:after="0" w:line="270" w:lineRule="atLeast"/>
        <w:rPr>
          <w:sz w:val="24"/>
          <w:szCs w:val="24"/>
        </w:rPr>
      </w:pPr>
      <w:r w:rsidRPr="000A7581">
        <w:rPr>
          <w:sz w:val="24"/>
          <w:szCs w:val="24"/>
        </w:rPr>
        <w:t xml:space="preserve">Louise Fergusson on 0113 824 9515 / 07568 431900 </w:t>
      </w:r>
    </w:p>
    <w:p w:rsidR="003A3E54" w:rsidRPr="000A7581" w:rsidRDefault="003A3E54" w:rsidP="00E41442">
      <w:pPr>
        <w:spacing w:after="0" w:line="270" w:lineRule="atLeast"/>
        <w:rPr>
          <w:sz w:val="24"/>
          <w:szCs w:val="24"/>
        </w:rPr>
      </w:pPr>
      <w:r w:rsidRPr="000A7581">
        <w:rPr>
          <w:sz w:val="24"/>
          <w:szCs w:val="24"/>
        </w:rPr>
        <w:t>Louise.fergusson@nhs.net</w:t>
      </w:r>
    </w:p>
    <w:p w:rsidR="003A3E54" w:rsidRPr="000A7581" w:rsidRDefault="003611E6" w:rsidP="00E41442">
      <w:pPr>
        <w:spacing w:after="0" w:line="270" w:lineRule="atLeast"/>
        <w:rPr>
          <w:sz w:val="24"/>
          <w:szCs w:val="24"/>
        </w:rPr>
      </w:pPr>
      <w:r>
        <w:rPr>
          <w:sz w:val="24"/>
          <w:szCs w:val="24"/>
        </w:rPr>
        <w:t>o</w:t>
      </w:r>
      <w:r w:rsidR="004E716F" w:rsidRPr="000A7581">
        <w:rPr>
          <w:sz w:val="24"/>
          <w:szCs w:val="24"/>
        </w:rPr>
        <w:t>r</w:t>
      </w:r>
    </w:p>
    <w:p w:rsidR="003D584A" w:rsidRPr="000A7581" w:rsidRDefault="003A3E54" w:rsidP="00E41442">
      <w:pPr>
        <w:spacing w:after="0" w:line="270" w:lineRule="atLeast"/>
        <w:rPr>
          <w:sz w:val="24"/>
          <w:szCs w:val="24"/>
        </w:rPr>
      </w:pPr>
      <w:r w:rsidRPr="000A7581">
        <w:rPr>
          <w:sz w:val="24"/>
          <w:szCs w:val="24"/>
        </w:rPr>
        <w:t>Vanessa Robinson on 0113 825 3495 / 07714 772645</w:t>
      </w:r>
    </w:p>
    <w:p w:rsidR="003A3E54" w:rsidRPr="000A7581" w:rsidRDefault="003A3E54" w:rsidP="00E41442">
      <w:pPr>
        <w:spacing w:after="0" w:line="270" w:lineRule="atLeast"/>
        <w:rPr>
          <w:sz w:val="24"/>
          <w:szCs w:val="24"/>
        </w:rPr>
      </w:pPr>
      <w:r w:rsidRPr="000A7581">
        <w:rPr>
          <w:sz w:val="24"/>
          <w:szCs w:val="24"/>
        </w:rPr>
        <w:t>Vanessa.robinson3@nhs.net</w:t>
      </w:r>
    </w:p>
    <w:p w:rsidR="003A3E54" w:rsidRPr="000A7581" w:rsidRDefault="003A3E54" w:rsidP="00E41442">
      <w:pPr>
        <w:spacing w:after="0" w:line="270" w:lineRule="atLeast"/>
        <w:rPr>
          <w:sz w:val="24"/>
          <w:szCs w:val="24"/>
        </w:rPr>
      </w:pPr>
    </w:p>
    <w:p w:rsidR="003A3E54" w:rsidRPr="000A7581" w:rsidRDefault="003A3E54" w:rsidP="00E41442">
      <w:pPr>
        <w:spacing w:after="0" w:line="270" w:lineRule="atLeast"/>
        <w:rPr>
          <w:sz w:val="24"/>
          <w:szCs w:val="24"/>
        </w:rPr>
      </w:pPr>
    </w:p>
    <w:p w:rsidR="003A3E54" w:rsidRPr="000A7581" w:rsidRDefault="003A3E54" w:rsidP="00E41442">
      <w:pPr>
        <w:spacing w:after="0" w:line="270" w:lineRule="atLeast"/>
        <w:rPr>
          <w:b/>
          <w:sz w:val="24"/>
          <w:szCs w:val="24"/>
        </w:rPr>
      </w:pPr>
      <w:r w:rsidRPr="000A7581">
        <w:rPr>
          <w:b/>
          <w:sz w:val="24"/>
          <w:szCs w:val="24"/>
        </w:rPr>
        <w:t xml:space="preserve">Health Protection Team Contact Details </w:t>
      </w:r>
    </w:p>
    <w:p w:rsidR="000A7581" w:rsidRPr="000A7581" w:rsidRDefault="00FA41CF" w:rsidP="00E41442">
      <w:pPr>
        <w:spacing w:after="0" w:line="270" w:lineRule="atLeast"/>
        <w:rPr>
          <w:sz w:val="24"/>
          <w:szCs w:val="24"/>
        </w:rPr>
      </w:pPr>
      <w:r>
        <w:rPr>
          <w:sz w:val="24"/>
          <w:szCs w:val="24"/>
        </w:rPr>
        <w:t xml:space="preserve">The PHE </w:t>
      </w:r>
      <w:r w:rsidR="003A3E54" w:rsidRPr="000A7581">
        <w:rPr>
          <w:sz w:val="24"/>
          <w:szCs w:val="24"/>
        </w:rPr>
        <w:t xml:space="preserve">Health Protection Team now </w:t>
      </w:r>
      <w:r w:rsidR="004E716F" w:rsidRPr="000A7581">
        <w:rPr>
          <w:sz w:val="24"/>
          <w:szCs w:val="24"/>
        </w:rPr>
        <w:t>operates</w:t>
      </w:r>
      <w:r w:rsidR="003A3E54" w:rsidRPr="000A7581">
        <w:rPr>
          <w:sz w:val="24"/>
          <w:szCs w:val="24"/>
        </w:rPr>
        <w:t xml:space="preserve"> an Acute Response Centre (ARC)</w:t>
      </w:r>
      <w:r>
        <w:rPr>
          <w:sz w:val="24"/>
          <w:szCs w:val="24"/>
        </w:rPr>
        <w:t>. T</w:t>
      </w:r>
      <w:r w:rsidR="004E716F" w:rsidRPr="000A7581">
        <w:rPr>
          <w:sz w:val="24"/>
          <w:szCs w:val="24"/>
        </w:rPr>
        <w:t>o</w:t>
      </w:r>
      <w:r w:rsidR="003A3E54" w:rsidRPr="000A7581">
        <w:rPr>
          <w:sz w:val="24"/>
          <w:szCs w:val="24"/>
        </w:rPr>
        <w:t xml:space="preserve"> contact them dial 0344</w:t>
      </w:r>
      <w:r w:rsidR="003611E6">
        <w:rPr>
          <w:sz w:val="24"/>
          <w:szCs w:val="24"/>
        </w:rPr>
        <w:t xml:space="preserve"> </w:t>
      </w:r>
      <w:r w:rsidR="003A3E54" w:rsidRPr="000A7581">
        <w:rPr>
          <w:sz w:val="24"/>
          <w:szCs w:val="24"/>
        </w:rPr>
        <w:t>225</w:t>
      </w:r>
      <w:r w:rsidR="003611E6">
        <w:rPr>
          <w:sz w:val="24"/>
          <w:szCs w:val="24"/>
        </w:rPr>
        <w:t xml:space="preserve"> </w:t>
      </w:r>
      <w:r w:rsidR="003A3E54" w:rsidRPr="000A7581">
        <w:rPr>
          <w:sz w:val="24"/>
          <w:szCs w:val="24"/>
        </w:rPr>
        <w:t>4524 – option 1 and they will answer any immediate immunisation queries.</w:t>
      </w:r>
    </w:p>
    <w:sectPr w:rsidR="000A7581" w:rsidRPr="000A758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4D" w:rsidRDefault="005D2B4D" w:rsidP="00AC30E2">
      <w:pPr>
        <w:spacing w:after="0" w:line="240" w:lineRule="auto"/>
      </w:pPr>
      <w:r>
        <w:separator/>
      </w:r>
    </w:p>
  </w:endnote>
  <w:endnote w:type="continuationSeparator" w:id="0">
    <w:p w:rsidR="005D2B4D" w:rsidRDefault="005D2B4D" w:rsidP="00AC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28779"/>
      <w:docPartObj>
        <w:docPartGallery w:val="Page Numbers (Bottom of Page)"/>
        <w:docPartUnique/>
      </w:docPartObj>
    </w:sdtPr>
    <w:sdtEndPr>
      <w:rPr>
        <w:noProof/>
      </w:rPr>
    </w:sdtEndPr>
    <w:sdtContent>
      <w:p w:rsidR="001C5122" w:rsidRDefault="001C5122">
        <w:pPr>
          <w:pStyle w:val="Footer"/>
          <w:jc w:val="right"/>
        </w:pPr>
        <w:r>
          <w:fldChar w:fldCharType="begin"/>
        </w:r>
        <w:r>
          <w:instrText xml:space="preserve"> PAGE   \* MERGEFORMAT </w:instrText>
        </w:r>
        <w:r>
          <w:fldChar w:fldCharType="separate"/>
        </w:r>
        <w:r w:rsidR="006E4EAC">
          <w:rPr>
            <w:noProof/>
          </w:rPr>
          <w:t>1</w:t>
        </w:r>
        <w:r>
          <w:rPr>
            <w:noProof/>
          </w:rPr>
          <w:fldChar w:fldCharType="end"/>
        </w:r>
      </w:p>
    </w:sdtContent>
  </w:sdt>
  <w:p w:rsidR="001C5122" w:rsidRDefault="001C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4D" w:rsidRDefault="005D2B4D" w:rsidP="00AC30E2">
      <w:pPr>
        <w:spacing w:after="0" w:line="240" w:lineRule="auto"/>
      </w:pPr>
      <w:r>
        <w:separator/>
      </w:r>
    </w:p>
  </w:footnote>
  <w:footnote w:type="continuationSeparator" w:id="0">
    <w:p w:rsidR="005D2B4D" w:rsidRDefault="005D2B4D" w:rsidP="00AC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F2BC"/>
      </v:shape>
    </w:pict>
  </w:numPicBullet>
  <w:abstractNum w:abstractNumId="0">
    <w:nsid w:val="0E161783"/>
    <w:multiLevelType w:val="hybridMultilevel"/>
    <w:tmpl w:val="A25E75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3D0F6E"/>
    <w:multiLevelType w:val="hybridMultilevel"/>
    <w:tmpl w:val="2E4C9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2F133A3F"/>
    <w:multiLevelType w:val="hybridMultilevel"/>
    <w:tmpl w:val="0728DEC0"/>
    <w:lvl w:ilvl="0" w:tplc="380CA5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02EF1"/>
    <w:multiLevelType w:val="hybridMultilevel"/>
    <w:tmpl w:val="236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D5C65"/>
    <w:multiLevelType w:val="hybridMultilevel"/>
    <w:tmpl w:val="99C22356"/>
    <w:lvl w:ilvl="0" w:tplc="08090001">
      <w:start w:val="1"/>
      <w:numFmt w:val="bullet"/>
      <w:lvlText w:val=""/>
      <w:lvlJc w:val="left"/>
      <w:pPr>
        <w:ind w:left="2930" w:hanging="360"/>
      </w:pPr>
      <w:rPr>
        <w:rFonts w:ascii="Symbol" w:hAnsi="Symbol" w:hint="default"/>
      </w:rPr>
    </w:lvl>
    <w:lvl w:ilvl="1" w:tplc="08090003" w:tentative="1">
      <w:start w:val="1"/>
      <w:numFmt w:val="bullet"/>
      <w:lvlText w:val="o"/>
      <w:lvlJc w:val="left"/>
      <w:pPr>
        <w:ind w:left="3650" w:hanging="360"/>
      </w:pPr>
      <w:rPr>
        <w:rFonts w:ascii="Courier New" w:hAnsi="Courier New" w:cs="Courier New" w:hint="default"/>
      </w:rPr>
    </w:lvl>
    <w:lvl w:ilvl="2" w:tplc="08090005" w:tentative="1">
      <w:start w:val="1"/>
      <w:numFmt w:val="bullet"/>
      <w:lvlText w:val=""/>
      <w:lvlJc w:val="left"/>
      <w:pPr>
        <w:ind w:left="4370" w:hanging="360"/>
      </w:pPr>
      <w:rPr>
        <w:rFonts w:ascii="Wingdings" w:hAnsi="Wingdings" w:hint="default"/>
      </w:rPr>
    </w:lvl>
    <w:lvl w:ilvl="3" w:tplc="08090001" w:tentative="1">
      <w:start w:val="1"/>
      <w:numFmt w:val="bullet"/>
      <w:lvlText w:val=""/>
      <w:lvlJc w:val="left"/>
      <w:pPr>
        <w:ind w:left="5090" w:hanging="360"/>
      </w:pPr>
      <w:rPr>
        <w:rFonts w:ascii="Symbol" w:hAnsi="Symbol" w:hint="default"/>
      </w:rPr>
    </w:lvl>
    <w:lvl w:ilvl="4" w:tplc="08090003" w:tentative="1">
      <w:start w:val="1"/>
      <w:numFmt w:val="bullet"/>
      <w:lvlText w:val="o"/>
      <w:lvlJc w:val="left"/>
      <w:pPr>
        <w:ind w:left="5810" w:hanging="360"/>
      </w:pPr>
      <w:rPr>
        <w:rFonts w:ascii="Courier New" w:hAnsi="Courier New" w:cs="Courier New" w:hint="default"/>
      </w:rPr>
    </w:lvl>
    <w:lvl w:ilvl="5" w:tplc="08090005" w:tentative="1">
      <w:start w:val="1"/>
      <w:numFmt w:val="bullet"/>
      <w:lvlText w:val=""/>
      <w:lvlJc w:val="left"/>
      <w:pPr>
        <w:ind w:left="6530" w:hanging="360"/>
      </w:pPr>
      <w:rPr>
        <w:rFonts w:ascii="Wingdings" w:hAnsi="Wingdings" w:hint="default"/>
      </w:rPr>
    </w:lvl>
    <w:lvl w:ilvl="6" w:tplc="08090001" w:tentative="1">
      <w:start w:val="1"/>
      <w:numFmt w:val="bullet"/>
      <w:lvlText w:val=""/>
      <w:lvlJc w:val="left"/>
      <w:pPr>
        <w:ind w:left="7250" w:hanging="360"/>
      </w:pPr>
      <w:rPr>
        <w:rFonts w:ascii="Symbol" w:hAnsi="Symbol" w:hint="default"/>
      </w:rPr>
    </w:lvl>
    <w:lvl w:ilvl="7" w:tplc="08090003" w:tentative="1">
      <w:start w:val="1"/>
      <w:numFmt w:val="bullet"/>
      <w:lvlText w:val="o"/>
      <w:lvlJc w:val="left"/>
      <w:pPr>
        <w:ind w:left="7970" w:hanging="360"/>
      </w:pPr>
      <w:rPr>
        <w:rFonts w:ascii="Courier New" w:hAnsi="Courier New" w:cs="Courier New" w:hint="default"/>
      </w:rPr>
    </w:lvl>
    <w:lvl w:ilvl="8" w:tplc="08090005" w:tentative="1">
      <w:start w:val="1"/>
      <w:numFmt w:val="bullet"/>
      <w:lvlText w:val=""/>
      <w:lvlJc w:val="left"/>
      <w:pPr>
        <w:ind w:left="8690" w:hanging="360"/>
      </w:pPr>
      <w:rPr>
        <w:rFonts w:ascii="Wingdings" w:hAnsi="Wingdings" w:hint="default"/>
      </w:rPr>
    </w:lvl>
  </w:abstractNum>
  <w:abstractNum w:abstractNumId="5">
    <w:nsid w:val="6D5229B9"/>
    <w:multiLevelType w:val="hybridMultilevel"/>
    <w:tmpl w:val="921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27408"/>
    <w:multiLevelType w:val="hybridMultilevel"/>
    <w:tmpl w:val="6444E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BF7F8C"/>
    <w:multiLevelType w:val="hybridMultilevel"/>
    <w:tmpl w:val="F0908632"/>
    <w:lvl w:ilvl="0" w:tplc="9DCC1F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2"/>
    <w:rsid w:val="000A7581"/>
    <w:rsid w:val="0011699F"/>
    <w:rsid w:val="00120103"/>
    <w:rsid w:val="001C5122"/>
    <w:rsid w:val="001D4B1A"/>
    <w:rsid w:val="00235126"/>
    <w:rsid w:val="002439C7"/>
    <w:rsid w:val="002573E1"/>
    <w:rsid w:val="002930A5"/>
    <w:rsid w:val="002B58A7"/>
    <w:rsid w:val="00303830"/>
    <w:rsid w:val="00305375"/>
    <w:rsid w:val="00342436"/>
    <w:rsid w:val="003611E6"/>
    <w:rsid w:val="003A3E54"/>
    <w:rsid w:val="003D584A"/>
    <w:rsid w:val="0045113F"/>
    <w:rsid w:val="00466207"/>
    <w:rsid w:val="004E716F"/>
    <w:rsid w:val="004F4386"/>
    <w:rsid w:val="0050617E"/>
    <w:rsid w:val="005440D8"/>
    <w:rsid w:val="00583906"/>
    <w:rsid w:val="005A275C"/>
    <w:rsid w:val="005D2B4D"/>
    <w:rsid w:val="006377FF"/>
    <w:rsid w:val="006468CF"/>
    <w:rsid w:val="00647CE0"/>
    <w:rsid w:val="006510EC"/>
    <w:rsid w:val="006E4EAC"/>
    <w:rsid w:val="006F76E2"/>
    <w:rsid w:val="007B092B"/>
    <w:rsid w:val="00837FDF"/>
    <w:rsid w:val="00847DD6"/>
    <w:rsid w:val="008B797A"/>
    <w:rsid w:val="00924327"/>
    <w:rsid w:val="009A4615"/>
    <w:rsid w:val="009B0F8D"/>
    <w:rsid w:val="00A54A05"/>
    <w:rsid w:val="00AC289E"/>
    <w:rsid w:val="00AC30E2"/>
    <w:rsid w:val="00B07780"/>
    <w:rsid w:val="00B43CD2"/>
    <w:rsid w:val="00B868F0"/>
    <w:rsid w:val="00B86D55"/>
    <w:rsid w:val="00C33B6E"/>
    <w:rsid w:val="00C359D0"/>
    <w:rsid w:val="00C47903"/>
    <w:rsid w:val="00C77339"/>
    <w:rsid w:val="00C84132"/>
    <w:rsid w:val="00D46A82"/>
    <w:rsid w:val="00DA7D25"/>
    <w:rsid w:val="00DB30E6"/>
    <w:rsid w:val="00DC3ED7"/>
    <w:rsid w:val="00E41442"/>
    <w:rsid w:val="00F1134B"/>
    <w:rsid w:val="00F567AF"/>
    <w:rsid w:val="00F8105F"/>
    <w:rsid w:val="00FA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 w:type="character" w:styleId="CommentReference">
    <w:name w:val="annotation reference"/>
    <w:basedOn w:val="DefaultParagraphFont"/>
    <w:uiPriority w:val="99"/>
    <w:semiHidden/>
    <w:unhideWhenUsed/>
    <w:rsid w:val="006468CF"/>
    <w:rPr>
      <w:sz w:val="16"/>
      <w:szCs w:val="16"/>
    </w:rPr>
  </w:style>
  <w:style w:type="paragraph" w:styleId="CommentText">
    <w:name w:val="annotation text"/>
    <w:basedOn w:val="Normal"/>
    <w:link w:val="CommentTextChar"/>
    <w:uiPriority w:val="99"/>
    <w:semiHidden/>
    <w:unhideWhenUsed/>
    <w:rsid w:val="006468CF"/>
    <w:pPr>
      <w:spacing w:line="240" w:lineRule="auto"/>
    </w:pPr>
    <w:rPr>
      <w:sz w:val="20"/>
      <w:szCs w:val="20"/>
    </w:rPr>
  </w:style>
  <w:style w:type="character" w:customStyle="1" w:styleId="CommentTextChar">
    <w:name w:val="Comment Text Char"/>
    <w:basedOn w:val="DefaultParagraphFont"/>
    <w:link w:val="CommentText"/>
    <w:uiPriority w:val="99"/>
    <w:semiHidden/>
    <w:rsid w:val="006468CF"/>
    <w:rPr>
      <w:sz w:val="20"/>
      <w:szCs w:val="20"/>
    </w:rPr>
  </w:style>
  <w:style w:type="paragraph" w:styleId="CommentSubject">
    <w:name w:val="annotation subject"/>
    <w:basedOn w:val="CommentText"/>
    <w:next w:val="CommentText"/>
    <w:link w:val="CommentSubjectChar"/>
    <w:uiPriority w:val="99"/>
    <w:semiHidden/>
    <w:unhideWhenUsed/>
    <w:rsid w:val="006468CF"/>
    <w:rPr>
      <w:b/>
      <w:bCs/>
    </w:rPr>
  </w:style>
  <w:style w:type="character" w:customStyle="1" w:styleId="CommentSubjectChar">
    <w:name w:val="Comment Subject Char"/>
    <w:basedOn w:val="CommentTextChar"/>
    <w:link w:val="CommentSubject"/>
    <w:uiPriority w:val="99"/>
    <w:semiHidden/>
    <w:rsid w:val="006468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 w:type="character" w:styleId="CommentReference">
    <w:name w:val="annotation reference"/>
    <w:basedOn w:val="DefaultParagraphFont"/>
    <w:uiPriority w:val="99"/>
    <w:semiHidden/>
    <w:unhideWhenUsed/>
    <w:rsid w:val="006468CF"/>
    <w:rPr>
      <w:sz w:val="16"/>
      <w:szCs w:val="16"/>
    </w:rPr>
  </w:style>
  <w:style w:type="paragraph" w:styleId="CommentText">
    <w:name w:val="annotation text"/>
    <w:basedOn w:val="Normal"/>
    <w:link w:val="CommentTextChar"/>
    <w:uiPriority w:val="99"/>
    <w:semiHidden/>
    <w:unhideWhenUsed/>
    <w:rsid w:val="006468CF"/>
    <w:pPr>
      <w:spacing w:line="240" w:lineRule="auto"/>
    </w:pPr>
    <w:rPr>
      <w:sz w:val="20"/>
      <w:szCs w:val="20"/>
    </w:rPr>
  </w:style>
  <w:style w:type="character" w:customStyle="1" w:styleId="CommentTextChar">
    <w:name w:val="Comment Text Char"/>
    <w:basedOn w:val="DefaultParagraphFont"/>
    <w:link w:val="CommentText"/>
    <w:uiPriority w:val="99"/>
    <w:semiHidden/>
    <w:rsid w:val="006468CF"/>
    <w:rPr>
      <w:sz w:val="20"/>
      <w:szCs w:val="20"/>
    </w:rPr>
  </w:style>
  <w:style w:type="paragraph" w:styleId="CommentSubject">
    <w:name w:val="annotation subject"/>
    <w:basedOn w:val="CommentText"/>
    <w:next w:val="CommentText"/>
    <w:link w:val="CommentSubjectChar"/>
    <w:uiPriority w:val="99"/>
    <w:semiHidden/>
    <w:unhideWhenUsed/>
    <w:rsid w:val="006468CF"/>
    <w:rPr>
      <w:b/>
      <w:bCs/>
    </w:rPr>
  </w:style>
  <w:style w:type="character" w:customStyle="1" w:styleId="CommentSubjectChar">
    <w:name w:val="Comment Subject Char"/>
    <w:basedOn w:val="CommentTextChar"/>
    <w:link w:val="CommentSubject"/>
    <w:uiPriority w:val="99"/>
    <w:semiHidden/>
    <w:rsid w:val="00646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ngland.llimm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vaccine-update-issue-289-december-201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england.nhs.uk/mids-east/info-professionals/ll-immun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Fergusson Louise - Fitness to Practice PA</dc:creator>
  <cp:lastModifiedBy>Leggat, Chloe</cp:lastModifiedBy>
  <cp:revision>3</cp:revision>
  <dcterms:created xsi:type="dcterms:W3CDTF">2019-01-25T11:21:00Z</dcterms:created>
  <dcterms:modified xsi:type="dcterms:W3CDTF">2019-01-25T11:39:00Z</dcterms:modified>
</cp:coreProperties>
</file>