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E2" w:rsidRPr="00AC30E2" w:rsidRDefault="00AC30E2" w:rsidP="003A3E54">
      <w:pPr>
        <w:spacing w:after="0" w:line="240" w:lineRule="auto"/>
        <w:jc w:val="right"/>
      </w:pPr>
      <w:bookmarkStart w:id="0" w:name="_GoBack"/>
      <w:bookmarkEnd w:id="0"/>
      <w:r>
        <w:rPr>
          <w:noProof/>
          <w:lang w:eastAsia="en-GB"/>
        </w:rPr>
        <w:drawing>
          <wp:anchor distT="0" distB="0" distL="114300" distR="114300" simplePos="0" relativeHeight="251660288" behindDoc="1" locked="0" layoutInCell="1" allowOverlap="1" wp14:anchorId="3C42C55D" wp14:editId="689A5BE5">
            <wp:simplePos x="0" y="0"/>
            <wp:positionH relativeFrom="column">
              <wp:posOffset>4776470</wp:posOffset>
            </wp:positionH>
            <wp:positionV relativeFrom="paragraph">
              <wp:posOffset>-581025</wp:posOffset>
            </wp:positionV>
            <wp:extent cx="916940" cy="569595"/>
            <wp:effectExtent l="0" t="0" r="0" b="1905"/>
            <wp:wrapTight wrapText="bothSides">
              <wp:wrapPolygon edited="0">
                <wp:start x="0" y="0"/>
                <wp:lineTo x="0" y="20950"/>
                <wp:lineTo x="21091" y="20950"/>
                <wp:lineTo x="2109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4C45B9A" wp14:editId="7BFADCA3">
            <wp:simplePos x="0" y="0"/>
            <wp:positionH relativeFrom="margin">
              <wp:posOffset>-241935</wp:posOffset>
            </wp:positionH>
            <wp:positionV relativeFrom="margin">
              <wp:posOffset>-494030</wp:posOffset>
            </wp:positionV>
            <wp:extent cx="1413510" cy="914400"/>
            <wp:effectExtent l="0" t="0" r="0" b="0"/>
            <wp:wrapSquare wrapText="bothSides"/>
            <wp:docPr id="1"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51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AC30E2" w:rsidRDefault="00AC30E2" w:rsidP="00AC30E2"/>
    <w:p w:rsidR="003A3E54" w:rsidRPr="003A3E54" w:rsidRDefault="003A3E54" w:rsidP="003A3E54">
      <w:pPr>
        <w:spacing w:line="240" w:lineRule="auto"/>
        <w:jc w:val="center"/>
        <w:rPr>
          <w:b/>
          <w:sz w:val="24"/>
          <w:szCs w:val="24"/>
        </w:rPr>
      </w:pPr>
      <w:r w:rsidRPr="003A3E54">
        <w:rPr>
          <w:b/>
          <w:sz w:val="24"/>
          <w:szCs w:val="24"/>
        </w:rPr>
        <w:t>Central Midlands (Leicestershire, Lincolnshire and Northamptonshire)</w:t>
      </w:r>
    </w:p>
    <w:p w:rsidR="003A3E54" w:rsidRPr="003A3E54" w:rsidRDefault="003A3E54" w:rsidP="003A3E54">
      <w:pPr>
        <w:spacing w:line="240" w:lineRule="auto"/>
        <w:jc w:val="center"/>
        <w:rPr>
          <w:b/>
          <w:sz w:val="24"/>
          <w:szCs w:val="24"/>
        </w:rPr>
      </w:pPr>
      <w:r w:rsidRPr="003A3E54">
        <w:rPr>
          <w:b/>
          <w:sz w:val="24"/>
          <w:szCs w:val="24"/>
        </w:rPr>
        <w:t>Screening and Immunisation Team Update</w:t>
      </w:r>
    </w:p>
    <w:p w:rsidR="003A3E54" w:rsidRPr="003A3E54" w:rsidRDefault="003A3E54" w:rsidP="003A3E54">
      <w:pPr>
        <w:spacing w:line="240" w:lineRule="auto"/>
        <w:jc w:val="center"/>
        <w:rPr>
          <w:b/>
          <w:sz w:val="24"/>
          <w:szCs w:val="24"/>
        </w:rPr>
      </w:pPr>
      <w:r w:rsidRPr="003A3E54">
        <w:rPr>
          <w:b/>
          <w:sz w:val="24"/>
          <w:szCs w:val="24"/>
        </w:rPr>
        <w:t xml:space="preserve">W/C </w:t>
      </w:r>
      <w:r w:rsidR="00B511A8">
        <w:rPr>
          <w:b/>
          <w:sz w:val="24"/>
          <w:szCs w:val="24"/>
        </w:rPr>
        <w:t>17</w:t>
      </w:r>
      <w:r w:rsidR="000207C0" w:rsidRPr="000207C0">
        <w:rPr>
          <w:b/>
          <w:sz w:val="24"/>
          <w:szCs w:val="24"/>
          <w:vertAlign w:val="superscript"/>
        </w:rPr>
        <w:t>th</w:t>
      </w:r>
      <w:r w:rsidR="000207C0">
        <w:rPr>
          <w:b/>
          <w:sz w:val="24"/>
          <w:szCs w:val="24"/>
        </w:rPr>
        <w:t xml:space="preserve"> December 2018</w:t>
      </w:r>
    </w:p>
    <w:p w:rsidR="003A3E54" w:rsidRPr="004E716F" w:rsidRDefault="003A3E54" w:rsidP="003A3E54">
      <w:pPr>
        <w:jc w:val="center"/>
        <w:rPr>
          <w:b/>
          <w:color w:val="00B050"/>
          <w:sz w:val="24"/>
          <w:szCs w:val="24"/>
        </w:rPr>
      </w:pPr>
      <w:r w:rsidRPr="004E716F">
        <w:rPr>
          <w:b/>
          <w:color w:val="00B050"/>
          <w:sz w:val="24"/>
          <w:szCs w:val="24"/>
        </w:rPr>
        <w:t>Please cascade to ALL staff, including GPs, Practice Nurses</w:t>
      </w:r>
      <w:r w:rsidR="004E716F" w:rsidRPr="004E716F">
        <w:rPr>
          <w:b/>
          <w:color w:val="00B050"/>
          <w:sz w:val="24"/>
          <w:szCs w:val="24"/>
        </w:rPr>
        <w:t xml:space="preserve">, Admin </w:t>
      </w:r>
      <w:r w:rsidRPr="004E716F">
        <w:rPr>
          <w:b/>
          <w:color w:val="00B050"/>
          <w:sz w:val="24"/>
          <w:szCs w:val="24"/>
        </w:rPr>
        <w:t>and Reception Staff</w:t>
      </w:r>
    </w:p>
    <w:p w:rsidR="00F1134B" w:rsidRDefault="003A3E54" w:rsidP="003A3E54">
      <w:pPr>
        <w:rPr>
          <w:b/>
          <w:sz w:val="24"/>
          <w:szCs w:val="24"/>
          <w:u w:val="single"/>
        </w:rPr>
      </w:pPr>
      <w:r w:rsidRPr="003D584A">
        <w:rPr>
          <w:b/>
          <w:sz w:val="24"/>
          <w:szCs w:val="24"/>
          <w:u w:val="single"/>
        </w:rPr>
        <w:t xml:space="preserve">Immunisation Information  </w:t>
      </w:r>
    </w:p>
    <w:p w:rsidR="000D0B6B" w:rsidRPr="00B511A8" w:rsidRDefault="001D47BE" w:rsidP="00B511A8">
      <w:pPr>
        <w:pStyle w:val="ListParagraph"/>
        <w:numPr>
          <w:ilvl w:val="0"/>
          <w:numId w:val="11"/>
        </w:numPr>
        <w:spacing w:line="240" w:lineRule="auto"/>
        <w:rPr>
          <w:rFonts w:asciiTheme="minorHAnsi" w:hAnsiTheme="minorHAnsi"/>
          <w:b/>
          <w:sz w:val="22"/>
          <w:szCs w:val="22"/>
        </w:rPr>
      </w:pPr>
      <w:r w:rsidRPr="00B511A8">
        <w:rPr>
          <w:rFonts w:asciiTheme="minorHAnsi" w:hAnsiTheme="minorHAnsi"/>
          <w:b/>
          <w:sz w:val="22"/>
          <w:szCs w:val="22"/>
        </w:rPr>
        <w:t>Flu vaccine supply</w:t>
      </w:r>
      <w:r w:rsidR="000D0B6B" w:rsidRPr="00B511A8">
        <w:rPr>
          <w:rFonts w:asciiTheme="minorHAnsi" w:hAnsiTheme="minorHAnsi"/>
          <w:b/>
          <w:sz w:val="22"/>
          <w:szCs w:val="22"/>
        </w:rPr>
        <w:t xml:space="preserve"> – </w:t>
      </w:r>
      <w:r w:rsidR="000D0B6B" w:rsidRPr="00B511A8">
        <w:rPr>
          <w:rFonts w:asciiTheme="minorHAnsi" w:hAnsiTheme="minorHAnsi"/>
          <w:b/>
          <w:color w:val="00B050"/>
          <w:sz w:val="22"/>
          <w:szCs w:val="22"/>
        </w:rPr>
        <w:t xml:space="preserve">for information </w:t>
      </w:r>
      <w:r w:rsidR="000D0B6B" w:rsidRPr="00B511A8">
        <w:rPr>
          <w:rFonts w:asciiTheme="minorHAnsi" w:hAnsiTheme="minorHAnsi"/>
          <w:b/>
          <w:color w:val="FF0000"/>
          <w:sz w:val="22"/>
          <w:szCs w:val="22"/>
        </w:rPr>
        <w:t>and action</w:t>
      </w:r>
    </w:p>
    <w:p w:rsidR="001D47BE" w:rsidRDefault="001D47BE" w:rsidP="001D47BE">
      <w:pPr>
        <w:spacing w:line="240" w:lineRule="auto"/>
      </w:pPr>
      <w:r w:rsidRPr="001D47BE">
        <w:t>As you are no doubt aware</w:t>
      </w:r>
      <w:r w:rsidR="006900E6">
        <w:t>, following what has been a very difficult flu vaccination season for many,</w:t>
      </w:r>
      <w:r w:rsidRPr="001D47BE">
        <w:t xml:space="preserve"> we have been working in conjunction with CCGs to reallocate excess flu vaccine (both aTIV and QIV) between practices to ensure any patients who request a vaccine are able to obtain one. We know practices are anxious not to be left with any surplus vaccine but</w:t>
      </w:r>
      <w:r>
        <w:t>,</w:t>
      </w:r>
      <w:r w:rsidRPr="001D47BE">
        <w:t xml:space="preserve"> before returning to the pharmaceutical company we request that</w:t>
      </w:r>
      <w:r>
        <w:t xml:space="preserve"> </w:t>
      </w:r>
      <w:r w:rsidRPr="001D47BE">
        <w:t>you contact your CCG</w:t>
      </w:r>
      <w:r w:rsidR="006900E6">
        <w:t>,</w:t>
      </w:r>
      <w:r w:rsidRPr="001D47BE">
        <w:t xml:space="preserve"> or your local screening and immunisation co-ordinator</w:t>
      </w:r>
      <w:r w:rsidR="006900E6">
        <w:t>,</w:t>
      </w:r>
      <w:r w:rsidRPr="001D47BE">
        <w:t xml:space="preserve"> as we may know of practices </w:t>
      </w:r>
      <w:r w:rsidR="003A3892" w:rsidRPr="001D47BE">
        <w:t>that</w:t>
      </w:r>
      <w:r w:rsidRPr="001D47BE">
        <w:t xml:space="preserve"> are still short.</w:t>
      </w:r>
      <w:r w:rsidR="006900E6">
        <w:t xml:space="preserve"> Thank you for your support with this.</w:t>
      </w:r>
    </w:p>
    <w:p w:rsidR="000D0B6B" w:rsidRPr="00B511A8" w:rsidRDefault="00EA11BF" w:rsidP="00B511A8">
      <w:pPr>
        <w:pStyle w:val="ListParagraph"/>
        <w:numPr>
          <w:ilvl w:val="0"/>
          <w:numId w:val="11"/>
        </w:numPr>
        <w:spacing w:line="240" w:lineRule="auto"/>
        <w:rPr>
          <w:rFonts w:ascii="Calibri" w:hAnsi="Calibri"/>
          <w:sz w:val="22"/>
          <w:szCs w:val="22"/>
        </w:rPr>
      </w:pPr>
      <w:r w:rsidRPr="00B511A8">
        <w:rPr>
          <w:rFonts w:ascii="Calibri" w:hAnsi="Calibri"/>
          <w:b/>
          <w:sz w:val="22"/>
          <w:szCs w:val="22"/>
        </w:rPr>
        <w:t>Pertussis vaccination for travellers to Australia</w:t>
      </w:r>
      <w:r w:rsidR="000D0B6B" w:rsidRPr="00B511A8">
        <w:rPr>
          <w:rFonts w:ascii="Calibri" w:hAnsi="Calibri"/>
          <w:b/>
          <w:sz w:val="22"/>
          <w:szCs w:val="22"/>
        </w:rPr>
        <w:t xml:space="preserve"> – </w:t>
      </w:r>
      <w:r w:rsidR="000D0B6B" w:rsidRPr="00B511A8">
        <w:rPr>
          <w:rFonts w:ascii="Calibri" w:hAnsi="Calibri"/>
          <w:b/>
          <w:color w:val="00B050"/>
          <w:sz w:val="22"/>
          <w:szCs w:val="22"/>
        </w:rPr>
        <w:t>for information</w:t>
      </w:r>
    </w:p>
    <w:p w:rsidR="00F1134B" w:rsidRDefault="00F63EFC" w:rsidP="00F63EFC">
      <w:pPr>
        <w:spacing w:line="240" w:lineRule="auto"/>
      </w:pPr>
      <w:r w:rsidRPr="001D47BE">
        <w:t>Travellers visiting e.g. new</w:t>
      </w:r>
      <w:r w:rsidR="00371E0B" w:rsidRPr="001D47BE">
        <w:t>ly born</w:t>
      </w:r>
      <w:r w:rsidRPr="001D47BE">
        <w:t xml:space="preserve"> grandchildren in Australia </w:t>
      </w:r>
      <w:r w:rsidR="00371E0B" w:rsidRPr="001D47BE">
        <w:t>sometimes</w:t>
      </w:r>
      <w:r w:rsidRPr="001D47BE">
        <w:t xml:space="preserve"> present requesting whooping cough vaccination</w:t>
      </w:r>
      <w:r w:rsidR="00371E0B" w:rsidRPr="001D47BE">
        <w:t>.  I</w:t>
      </w:r>
      <w:r w:rsidRPr="001D47BE">
        <w:t>n the UK o</w:t>
      </w:r>
      <w:r w:rsidR="00EA11BF" w:rsidRPr="001D47BE">
        <w:t xml:space="preserve">nly children </w:t>
      </w:r>
      <w:r w:rsidRPr="001D47BE">
        <w:t>of less than 10 years of age and pregnant women are eligible to receive NHS pertussis immunisation, as per the current schedule.  Everyone else must seek this from a private source.  Practices are unable to offer this as a private service, and should not prescribe it, since there are clear NHS indications.</w:t>
      </w:r>
    </w:p>
    <w:p w:rsidR="000D0B6B" w:rsidRPr="00B511A8" w:rsidRDefault="001671D2" w:rsidP="00B511A8">
      <w:pPr>
        <w:pStyle w:val="ListParagraph"/>
        <w:numPr>
          <w:ilvl w:val="0"/>
          <w:numId w:val="11"/>
        </w:numPr>
        <w:spacing w:line="240" w:lineRule="auto"/>
        <w:rPr>
          <w:rFonts w:asciiTheme="minorHAnsi" w:hAnsiTheme="minorHAnsi"/>
          <w:b/>
          <w:sz w:val="22"/>
          <w:szCs w:val="22"/>
        </w:rPr>
      </w:pPr>
      <w:r w:rsidRPr="00B511A8">
        <w:rPr>
          <w:rFonts w:asciiTheme="minorHAnsi" w:hAnsiTheme="minorHAnsi"/>
          <w:b/>
          <w:sz w:val="22"/>
          <w:szCs w:val="22"/>
        </w:rPr>
        <w:t>Rotavirus</w:t>
      </w:r>
      <w:r w:rsidR="000D0B6B" w:rsidRPr="00B511A8">
        <w:rPr>
          <w:rFonts w:asciiTheme="minorHAnsi" w:hAnsiTheme="minorHAnsi"/>
          <w:b/>
          <w:sz w:val="22"/>
          <w:szCs w:val="22"/>
        </w:rPr>
        <w:t xml:space="preserve"> – </w:t>
      </w:r>
      <w:r w:rsidR="000D0B6B" w:rsidRPr="00B511A8">
        <w:rPr>
          <w:rFonts w:asciiTheme="minorHAnsi" w:hAnsiTheme="minorHAnsi"/>
          <w:b/>
          <w:color w:val="00B050"/>
          <w:sz w:val="22"/>
          <w:szCs w:val="22"/>
        </w:rPr>
        <w:t>for information</w:t>
      </w:r>
    </w:p>
    <w:p w:rsidR="00254954" w:rsidRDefault="00B86110" w:rsidP="00F63EFC">
      <w:pPr>
        <w:spacing w:line="240" w:lineRule="auto"/>
      </w:pPr>
      <w:r>
        <w:t>A recent review of</w:t>
      </w:r>
      <w:r w:rsidR="003A3892">
        <w:t xml:space="preserve"> the </w:t>
      </w:r>
      <w:r w:rsidR="001671D2">
        <w:t>Rota</w:t>
      </w:r>
      <w:r w:rsidR="007B2777">
        <w:t>virus</w:t>
      </w:r>
      <w:r w:rsidR="001671D2">
        <w:t xml:space="preserve"> vaccin</w:t>
      </w:r>
      <w:r w:rsidR="003A3892">
        <w:t xml:space="preserve">ation programme </w:t>
      </w:r>
      <w:r>
        <w:t xml:space="preserve">has shown several </w:t>
      </w:r>
      <w:r w:rsidR="001671D2">
        <w:t>given outside the approved age range. The search showed some clear anomalies – particularly, as might be expected, when the programme was first introduced, and also some coding issues.</w:t>
      </w:r>
      <w:r w:rsidR="006900E6">
        <w:t xml:space="preserve"> </w:t>
      </w:r>
    </w:p>
    <w:p w:rsidR="00B86110" w:rsidRDefault="00254954" w:rsidP="006900E6">
      <w:pPr>
        <w:spacing w:line="240" w:lineRule="auto"/>
      </w:pPr>
      <w:proofErr w:type="spellStart"/>
      <w:r>
        <w:t>Rotarix</w:t>
      </w:r>
      <w:proofErr w:type="spellEnd"/>
      <w:r>
        <w:t xml:space="preserve"> should be routinely </w:t>
      </w:r>
      <w:proofErr w:type="gramStart"/>
      <w:r>
        <w:t>be</w:t>
      </w:r>
      <w:proofErr w:type="gramEnd"/>
      <w:r>
        <w:t xml:space="preserve"> given at 8 weeks and 12 weeks of age.</w:t>
      </w:r>
      <w:r w:rsidR="006900E6">
        <w:t xml:space="preserve"> It is preferable that the full course of two doses of </w:t>
      </w:r>
      <w:proofErr w:type="spellStart"/>
      <w:r w:rsidR="006900E6">
        <w:t>Rotarix</w:t>
      </w:r>
      <w:proofErr w:type="spellEnd"/>
      <w:r w:rsidR="006900E6">
        <w:t>® be completed</w:t>
      </w:r>
      <w:r w:rsidR="00BE3AE2">
        <w:t xml:space="preserve"> </w:t>
      </w:r>
      <w:r w:rsidR="006900E6">
        <w:t>before 16 weeks of age, allowing at least four weeks between the first and</w:t>
      </w:r>
      <w:r w:rsidR="00BE3AE2">
        <w:t xml:space="preserve"> </w:t>
      </w:r>
      <w:r w:rsidR="006900E6">
        <w:t>second dose. This is to provide early protection and avoid</w:t>
      </w:r>
      <w:r w:rsidR="00BE3AE2">
        <w:t xml:space="preserve"> </w:t>
      </w:r>
      <w:r w:rsidR="006900E6">
        <w:t>temporal</w:t>
      </w:r>
      <w:r w:rsidR="00BE3AE2">
        <w:t xml:space="preserve"> </w:t>
      </w:r>
      <w:r w:rsidR="006900E6">
        <w:t>association between vaccination and intussusception.</w:t>
      </w:r>
      <w:r>
        <w:t xml:space="preserve"> </w:t>
      </w:r>
    </w:p>
    <w:p w:rsidR="001671D2" w:rsidRDefault="00254954" w:rsidP="006900E6">
      <w:pPr>
        <w:spacing w:line="240" w:lineRule="auto"/>
      </w:pPr>
      <w:r>
        <w:t xml:space="preserve">The </w:t>
      </w:r>
      <w:r w:rsidR="001671D2">
        <w:t xml:space="preserve">age </w:t>
      </w:r>
      <w:r w:rsidR="006900E6">
        <w:t>criteria</w:t>
      </w:r>
      <w:r w:rsidR="001671D2">
        <w:t xml:space="preserve"> for babies who are eligible for </w:t>
      </w:r>
      <w:proofErr w:type="spellStart"/>
      <w:r w:rsidR="001671D2">
        <w:t>Rotarix</w:t>
      </w:r>
      <w:proofErr w:type="spellEnd"/>
      <w:r w:rsidR="001671D2">
        <w:t xml:space="preserve"> is</w:t>
      </w:r>
      <w:r w:rsidR="006900E6">
        <w:t>:</w:t>
      </w:r>
      <w:r w:rsidR="001671D2">
        <w:t xml:space="preserve"> </w:t>
      </w:r>
    </w:p>
    <w:p w:rsidR="001671D2" w:rsidRPr="00254954" w:rsidRDefault="001671D2" w:rsidP="006900E6">
      <w:pPr>
        <w:pStyle w:val="ListParagraph"/>
        <w:numPr>
          <w:ilvl w:val="0"/>
          <w:numId w:val="10"/>
        </w:numPr>
        <w:spacing w:line="240" w:lineRule="auto"/>
        <w:ind w:left="0" w:firstLine="0"/>
        <w:rPr>
          <w:rFonts w:asciiTheme="minorHAnsi" w:hAnsiTheme="minorHAnsi"/>
          <w:sz w:val="22"/>
          <w:szCs w:val="22"/>
        </w:rPr>
      </w:pPr>
      <w:r w:rsidRPr="00254954">
        <w:rPr>
          <w:rFonts w:asciiTheme="minorHAnsi" w:hAnsiTheme="minorHAnsi"/>
          <w:sz w:val="22"/>
          <w:szCs w:val="22"/>
        </w:rPr>
        <w:t>The minimum age for the first dose of rotavirus vaccine is 6 weeks 0 days</w:t>
      </w:r>
    </w:p>
    <w:p w:rsidR="001671D2" w:rsidRPr="00254954" w:rsidRDefault="001671D2" w:rsidP="006900E6">
      <w:pPr>
        <w:pStyle w:val="ListParagraph"/>
        <w:numPr>
          <w:ilvl w:val="0"/>
          <w:numId w:val="10"/>
        </w:numPr>
        <w:spacing w:line="240" w:lineRule="auto"/>
        <w:ind w:left="0" w:firstLine="0"/>
        <w:rPr>
          <w:rFonts w:asciiTheme="minorHAnsi" w:hAnsiTheme="minorHAnsi"/>
          <w:sz w:val="22"/>
          <w:szCs w:val="22"/>
        </w:rPr>
      </w:pPr>
      <w:r w:rsidRPr="00254954">
        <w:rPr>
          <w:rFonts w:asciiTheme="minorHAnsi" w:hAnsiTheme="minorHAnsi"/>
          <w:sz w:val="22"/>
          <w:szCs w:val="22"/>
        </w:rPr>
        <w:t>The maximum age for the first dose is 14 weeks and 6 days</w:t>
      </w:r>
    </w:p>
    <w:p w:rsidR="001671D2" w:rsidRDefault="001671D2" w:rsidP="006900E6">
      <w:pPr>
        <w:pStyle w:val="ListParagraph"/>
        <w:numPr>
          <w:ilvl w:val="0"/>
          <w:numId w:val="10"/>
        </w:numPr>
        <w:spacing w:line="240" w:lineRule="auto"/>
        <w:ind w:hanging="720"/>
        <w:rPr>
          <w:rFonts w:asciiTheme="minorHAnsi" w:hAnsiTheme="minorHAnsi"/>
          <w:sz w:val="22"/>
          <w:szCs w:val="22"/>
        </w:rPr>
      </w:pPr>
      <w:r w:rsidRPr="00254954">
        <w:rPr>
          <w:rFonts w:asciiTheme="minorHAnsi" w:hAnsiTheme="minorHAnsi"/>
          <w:sz w:val="22"/>
          <w:szCs w:val="22"/>
        </w:rPr>
        <w:t xml:space="preserve">Infants </w:t>
      </w:r>
      <w:r w:rsidR="00254954">
        <w:rPr>
          <w:rFonts w:asciiTheme="minorHAnsi" w:hAnsiTheme="minorHAnsi"/>
          <w:sz w:val="22"/>
          <w:szCs w:val="22"/>
        </w:rPr>
        <w:t xml:space="preserve">who have received their first dose by 14 weeks and 6 days can then have their second dose a minimum of 4 weeks later up to the age of </w:t>
      </w:r>
      <w:r w:rsidRPr="00254954">
        <w:rPr>
          <w:rFonts w:asciiTheme="minorHAnsi" w:hAnsiTheme="minorHAnsi"/>
          <w:sz w:val="22"/>
          <w:szCs w:val="22"/>
        </w:rPr>
        <w:t>23 weeks and 6 days</w:t>
      </w:r>
      <w:r w:rsidR="00254954">
        <w:rPr>
          <w:rFonts w:asciiTheme="minorHAnsi" w:hAnsiTheme="minorHAnsi"/>
          <w:sz w:val="22"/>
          <w:szCs w:val="22"/>
        </w:rPr>
        <w:t>. This is the maximum age for the second dose.</w:t>
      </w:r>
    </w:p>
    <w:p w:rsidR="00E3518E" w:rsidRPr="00E3518E" w:rsidRDefault="00E3518E" w:rsidP="00E3518E">
      <w:pPr>
        <w:spacing w:line="240" w:lineRule="auto"/>
      </w:pPr>
    </w:p>
    <w:p w:rsidR="000D0B6B" w:rsidRPr="00B511A8" w:rsidRDefault="000D0B6B" w:rsidP="00B511A8">
      <w:pPr>
        <w:pStyle w:val="ListParagraph"/>
        <w:numPr>
          <w:ilvl w:val="0"/>
          <w:numId w:val="10"/>
        </w:numPr>
        <w:rPr>
          <w:rFonts w:asciiTheme="minorHAnsi" w:hAnsiTheme="minorHAnsi"/>
          <w:b/>
          <w:sz w:val="22"/>
          <w:szCs w:val="22"/>
        </w:rPr>
      </w:pPr>
      <w:r w:rsidRPr="00B511A8">
        <w:rPr>
          <w:rFonts w:asciiTheme="minorHAnsi" w:hAnsiTheme="minorHAnsi"/>
          <w:b/>
          <w:sz w:val="22"/>
          <w:szCs w:val="22"/>
        </w:rPr>
        <w:t xml:space="preserve">PPV vaccine supply – </w:t>
      </w:r>
      <w:r w:rsidRPr="00B511A8">
        <w:rPr>
          <w:rFonts w:asciiTheme="minorHAnsi" w:hAnsiTheme="minorHAnsi"/>
          <w:b/>
          <w:color w:val="00B050"/>
          <w:sz w:val="22"/>
          <w:szCs w:val="22"/>
        </w:rPr>
        <w:t>for information</w:t>
      </w:r>
      <w:r w:rsidR="00B511A8" w:rsidRPr="00B511A8">
        <w:rPr>
          <w:rFonts w:asciiTheme="minorHAnsi" w:hAnsiTheme="minorHAnsi"/>
          <w:b/>
          <w:color w:val="00B050"/>
          <w:sz w:val="22"/>
          <w:szCs w:val="22"/>
        </w:rPr>
        <w:t xml:space="preserve"> </w:t>
      </w:r>
      <w:r w:rsidR="00B511A8" w:rsidRPr="00B511A8">
        <w:rPr>
          <w:rFonts w:asciiTheme="minorHAnsi" w:hAnsiTheme="minorHAnsi"/>
          <w:b/>
          <w:color w:val="FF0000"/>
          <w:sz w:val="22"/>
          <w:szCs w:val="22"/>
        </w:rPr>
        <w:t>and action</w:t>
      </w:r>
    </w:p>
    <w:p w:rsidR="003A3892" w:rsidRDefault="003A3892" w:rsidP="000D0B6B">
      <w:pPr>
        <w:spacing w:after="120" w:line="240" w:lineRule="auto"/>
      </w:pPr>
      <w:r w:rsidRPr="000D0B6B">
        <w:t>ImmForm</w:t>
      </w:r>
      <w:r w:rsidR="000D0B6B" w:rsidRPr="000D0B6B">
        <w:t xml:space="preserve"> have confirmed that there is no PPV stock and advised us to tell practices to keep checking the </w:t>
      </w:r>
      <w:r w:rsidRPr="000D0B6B">
        <w:t>ImmForm</w:t>
      </w:r>
      <w:r w:rsidR="000D0B6B" w:rsidRPr="000D0B6B">
        <w:t xml:space="preserve"> news page frequently and vaccine updates for when stock becomes available (please note PPV is not orderable via ImmForm).</w:t>
      </w:r>
      <w:r w:rsidR="00E3518E">
        <w:t xml:space="preserve"> </w:t>
      </w:r>
      <w:r w:rsidR="00B86110">
        <w:t>In addition t</w:t>
      </w:r>
      <w:r w:rsidR="000D0B6B" w:rsidRPr="000D0B6B">
        <w:t xml:space="preserve">he </w:t>
      </w:r>
      <w:r w:rsidR="00B86110">
        <w:t xml:space="preserve">following statement was included in the </w:t>
      </w:r>
      <w:r w:rsidR="00E3518E">
        <w:t xml:space="preserve">following </w:t>
      </w:r>
      <w:r w:rsidR="000D0B6B" w:rsidRPr="000D0B6B">
        <w:t>November Vaccine Update</w:t>
      </w:r>
      <w:r w:rsidR="00E3518E">
        <w:t xml:space="preserve"> </w:t>
      </w:r>
      <w:r>
        <w:t>–</w:t>
      </w:r>
      <w:r w:rsidR="00E3518E">
        <w:t xml:space="preserve"> </w:t>
      </w:r>
    </w:p>
    <w:p w:rsidR="003A3892" w:rsidRDefault="003A3892" w:rsidP="000D0B6B">
      <w:pPr>
        <w:spacing w:after="120" w:line="240" w:lineRule="auto"/>
      </w:pPr>
    </w:p>
    <w:p w:rsidR="000D0B6B" w:rsidRPr="000D0B6B" w:rsidRDefault="0071159F" w:rsidP="003A3892">
      <w:pPr>
        <w:pBdr>
          <w:top w:val="single" w:sz="18" w:space="1" w:color="auto"/>
          <w:left w:val="single" w:sz="18" w:space="4" w:color="auto"/>
          <w:bottom w:val="single" w:sz="18" w:space="1" w:color="auto"/>
          <w:right w:val="single" w:sz="18" w:space="4" w:color="auto"/>
        </w:pBdr>
        <w:spacing w:after="120" w:line="240" w:lineRule="auto"/>
      </w:pPr>
      <w:hyperlink r:id="rId10" w:history="1">
        <w:r w:rsidR="00E3518E" w:rsidRPr="00F531F7">
          <w:rPr>
            <w:rStyle w:val="Hyperlink"/>
          </w:rPr>
          <w:t>https://assets.publishing.service.gov.uk/government/uploads/system/uploads/attachment_data/file/759287/VU_288_November_2018.pdf</w:t>
        </w:r>
      </w:hyperlink>
      <w:r w:rsidR="000D0B6B" w:rsidRPr="000D0B6B">
        <w:t>)</w:t>
      </w:r>
      <w:r w:rsidR="000D0B6B">
        <w:t xml:space="preserve"> </w:t>
      </w:r>
      <w:r w:rsidR="000D0B6B" w:rsidRPr="000D0B6B">
        <w:t xml:space="preserve"> </w:t>
      </w:r>
    </w:p>
    <w:p w:rsidR="00B86110" w:rsidRPr="00B86110" w:rsidRDefault="00B86110" w:rsidP="003A3892">
      <w:pPr>
        <w:pBdr>
          <w:top w:val="single" w:sz="18" w:space="1" w:color="auto"/>
          <w:left w:val="single" w:sz="18" w:space="4" w:color="auto"/>
          <w:bottom w:val="single" w:sz="18" w:space="1" w:color="auto"/>
          <w:right w:val="single" w:sz="18" w:space="4" w:color="auto"/>
        </w:pBdr>
        <w:spacing w:after="0" w:line="240" w:lineRule="auto"/>
        <w:rPr>
          <w:u w:val="single"/>
        </w:rPr>
      </w:pPr>
      <w:r w:rsidRPr="00B86110">
        <w:rPr>
          <w:u w:val="single"/>
        </w:rPr>
        <w:t>Pneumococcal Polysaccharide Vaccine (PPV)</w:t>
      </w:r>
    </w:p>
    <w:p w:rsidR="00B86110" w:rsidRDefault="00B86110" w:rsidP="003A3892">
      <w:pPr>
        <w:pBdr>
          <w:top w:val="single" w:sz="18" w:space="1" w:color="auto"/>
          <w:left w:val="single" w:sz="18" w:space="4" w:color="auto"/>
          <w:bottom w:val="single" w:sz="18" w:space="1" w:color="auto"/>
          <w:right w:val="single" w:sz="18" w:space="4" w:color="auto"/>
        </w:pBdr>
        <w:spacing w:after="0" w:line="240" w:lineRule="auto"/>
      </w:pPr>
      <w:r>
        <w:t>MSD is introducing a limited quantity of a prefilled syringe presentation (PFS) of PPV under the brand name PNEUMOVAX® 23 to supplement the current supply of vials from December 2018. A combination of growing global demand for pneumococcal polysaccharide vaccines, alongside manufacturing constraints, have led to regular interruptions in supply of PPV to the UK since 2017. The introduction of a PFS presentation of PPV is intended to support the continuity of supply and to help address public health need.</w:t>
      </w:r>
    </w:p>
    <w:p w:rsidR="004F4386" w:rsidRDefault="00B86110" w:rsidP="003A3892">
      <w:pPr>
        <w:pBdr>
          <w:top w:val="single" w:sz="18" w:space="1" w:color="auto"/>
          <w:left w:val="single" w:sz="18" w:space="4" w:color="auto"/>
          <w:bottom w:val="single" w:sz="18" w:space="1" w:color="auto"/>
          <w:right w:val="single" w:sz="18" w:space="4" w:color="auto"/>
        </w:pBdr>
        <w:spacing w:after="0" w:line="240" w:lineRule="auto"/>
      </w:pPr>
      <w:proofErr w:type="spellStart"/>
      <w:r>
        <w:t>Pneumovax</w:t>
      </w:r>
      <w:proofErr w:type="spellEnd"/>
      <w:r>
        <w:t>® 23 in the PFS presentation can be ordered in the same way as the PPV in vials; through MSD’s distribution partner AAH online or by phone on 0344 561 8899. Customers need an AAH account to place an order. For more information about the vaccine, please refer to the Summary of Product Characteristics (</w:t>
      </w:r>
      <w:proofErr w:type="spellStart"/>
      <w:r>
        <w:t>SmPC</w:t>
      </w:r>
      <w:proofErr w:type="spellEnd"/>
      <w:r>
        <w:t>).</w:t>
      </w:r>
      <w:r w:rsidR="004F4386" w:rsidRPr="000D0B6B">
        <w:tab/>
      </w:r>
    </w:p>
    <w:p w:rsidR="00B86110" w:rsidRPr="000D0B6B" w:rsidRDefault="00B86110" w:rsidP="003A3892">
      <w:pPr>
        <w:pBdr>
          <w:top w:val="single" w:sz="18" w:space="1" w:color="auto"/>
          <w:left w:val="single" w:sz="18" w:space="4" w:color="auto"/>
          <w:bottom w:val="single" w:sz="18" w:space="1" w:color="auto"/>
          <w:right w:val="single" w:sz="18" w:space="4" w:color="auto"/>
        </w:pBdr>
        <w:spacing w:after="0" w:line="240" w:lineRule="auto"/>
        <w:rPr>
          <w:sz w:val="24"/>
          <w:szCs w:val="24"/>
        </w:rPr>
      </w:pPr>
    </w:p>
    <w:p w:rsidR="003A3892" w:rsidRPr="003A3892" w:rsidRDefault="002439C7" w:rsidP="003A3892">
      <w:pPr>
        <w:ind w:left="360"/>
        <w:rPr>
          <w:b/>
        </w:rPr>
      </w:pPr>
      <w:r w:rsidRPr="003A3892">
        <w:rPr>
          <w:b/>
        </w:rPr>
        <w:t xml:space="preserve">   </w:t>
      </w:r>
    </w:p>
    <w:p w:rsidR="00C84132" w:rsidRPr="00B511A8" w:rsidRDefault="00C84132" w:rsidP="00E3518E">
      <w:pPr>
        <w:pStyle w:val="ListParagraph"/>
        <w:numPr>
          <w:ilvl w:val="0"/>
          <w:numId w:val="7"/>
        </w:numPr>
        <w:ind w:left="426" w:firstLine="0"/>
        <w:rPr>
          <w:rFonts w:asciiTheme="minorHAnsi" w:hAnsiTheme="minorHAnsi"/>
          <w:b/>
          <w:sz w:val="22"/>
          <w:szCs w:val="22"/>
        </w:rPr>
      </w:pPr>
      <w:r w:rsidRPr="00B511A8">
        <w:rPr>
          <w:rFonts w:asciiTheme="minorHAnsi" w:hAnsiTheme="minorHAnsi"/>
          <w:b/>
          <w:sz w:val="22"/>
          <w:szCs w:val="22"/>
        </w:rPr>
        <w:t>PGDs</w:t>
      </w:r>
      <w:r w:rsidR="00F1134B" w:rsidRPr="00B511A8">
        <w:rPr>
          <w:rFonts w:asciiTheme="minorHAnsi" w:hAnsiTheme="minorHAnsi"/>
          <w:b/>
          <w:sz w:val="22"/>
          <w:szCs w:val="22"/>
        </w:rPr>
        <w:t xml:space="preserve"> – </w:t>
      </w:r>
      <w:r w:rsidR="00F1134B" w:rsidRPr="00B511A8">
        <w:rPr>
          <w:rFonts w:asciiTheme="minorHAnsi" w:hAnsiTheme="minorHAnsi"/>
          <w:color w:val="00B050"/>
          <w:sz w:val="22"/>
          <w:szCs w:val="22"/>
        </w:rPr>
        <w:t>for information</w:t>
      </w:r>
      <w:r w:rsidR="00F1134B" w:rsidRPr="00B511A8">
        <w:rPr>
          <w:rFonts w:asciiTheme="minorHAnsi" w:hAnsiTheme="minorHAnsi"/>
          <w:b/>
          <w:color w:val="00B050"/>
          <w:sz w:val="22"/>
          <w:szCs w:val="22"/>
        </w:rPr>
        <w:t xml:space="preserve"> </w:t>
      </w:r>
    </w:p>
    <w:p w:rsidR="000207C0" w:rsidRPr="001D47BE" w:rsidRDefault="00F63EFC" w:rsidP="00B511A8">
      <w:pPr>
        <w:pStyle w:val="ListParagraph"/>
        <w:ind w:left="0"/>
        <w:rPr>
          <w:rFonts w:asciiTheme="minorHAnsi" w:hAnsiTheme="minorHAnsi"/>
          <w:sz w:val="22"/>
          <w:szCs w:val="22"/>
        </w:rPr>
      </w:pPr>
      <w:r w:rsidRPr="00D07E4C">
        <w:rPr>
          <w:rFonts w:asciiTheme="minorHAnsi" w:hAnsiTheme="minorHAnsi"/>
          <w:b/>
          <w:sz w:val="22"/>
          <w:szCs w:val="22"/>
        </w:rPr>
        <w:t>PCV13:</w:t>
      </w:r>
      <w:r w:rsidRPr="001D47BE">
        <w:rPr>
          <w:rFonts w:asciiTheme="minorHAnsi" w:hAnsiTheme="minorHAnsi"/>
          <w:sz w:val="22"/>
          <w:szCs w:val="22"/>
        </w:rPr>
        <w:t xml:space="preserve"> </w:t>
      </w:r>
      <w:r w:rsidR="000207C0" w:rsidRPr="001D47BE">
        <w:rPr>
          <w:rFonts w:asciiTheme="minorHAnsi" w:hAnsiTheme="minorHAnsi"/>
          <w:sz w:val="22"/>
          <w:szCs w:val="22"/>
        </w:rPr>
        <w:t>An updated version of the routine PCV13 PGD should be available for us to adopt for local use in good time for the expiry of the current version (plus extension) on 31</w:t>
      </w:r>
      <w:r w:rsidR="000207C0" w:rsidRPr="001D47BE">
        <w:rPr>
          <w:rFonts w:asciiTheme="minorHAnsi" w:hAnsiTheme="minorHAnsi"/>
          <w:sz w:val="22"/>
          <w:szCs w:val="22"/>
          <w:vertAlign w:val="superscript"/>
        </w:rPr>
        <w:t>st</w:t>
      </w:r>
      <w:r w:rsidR="000207C0" w:rsidRPr="001D47BE">
        <w:rPr>
          <w:rFonts w:asciiTheme="minorHAnsi" w:hAnsiTheme="minorHAnsi"/>
          <w:sz w:val="22"/>
          <w:szCs w:val="22"/>
        </w:rPr>
        <w:t xml:space="preserve"> January - it’s at the final stages of the PHE PGD development process.</w:t>
      </w:r>
    </w:p>
    <w:p w:rsidR="000207C0" w:rsidRPr="001D47BE" w:rsidRDefault="000207C0" w:rsidP="000207C0">
      <w:pPr>
        <w:pStyle w:val="ListParagraph"/>
        <w:ind w:left="142"/>
        <w:rPr>
          <w:rFonts w:asciiTheme="minorHAnsi" w:hAnsiTheme="minorHAnsi"/>
          <w:sz w:val="22"/>
          <w:szCs w:val="22"/>
        </w:rPr>
      </w:pPr>
    </w:p>
    <w:p w:rsidR="000207C0" w:rsidRDefault="000207C0" w:rsidP="00B511A8">
      <w:pPr>
        <w:pStyle w:val="ListParagraph"/>
        <w:ind w:left="0"/>
        <w:rPr>
          <w:rFonts w:asciiTheme="minorHAnsi" w:hAnsiTheme="minorHAnsi"/>
          <w:sz w:val="22"/>
          <w:szCs w:val="22"/>
        </w:rPr>
      </w:pPr>
      <w:r w:rsidRPr="001D47BE">
        <w:rPr>
          <w:rFonts w:asciiTheme="minorHAnsi" w:hAnsiTheme="minorHAnsi"/>
          <w:sz w:val="22"/>
          <w:szCs w:val="22"/>
        </w:rPr>
        <w:t xml:space="preserve">The </w:t>
      </w:r>
      <w:r w:rsidRPr="00D07E4C">
        <w:rPr>
          <w:rFonts w:asciiTheme="minorHAnsi" w:hAnsiTheme="minorHAnsi"/>
          <w:b/>
          <w:sz w:val="22"/>
          <w:szCs w:val="22"/>
        </w:rPr>
        <w:t>MenB</w:t>
      </w:r>
      <w:r w:rsidRPr="001D47BE">
        <w:rPr>
          <w:rFonts w:asciiTheme="minorHAnsi" w:hAnsiTheme="minorHAnsi"/>
          <w:sz w:val="22"/>
          <w:szCs w:val="22"/>
        </w:rPr>
        <w:t xml:space="preserve"> and </w:t>
      </w:r>
      <w:r w:rsidRPr="00D07E4C">
        <w:rPr>
          <w:rFonts w:asciiTheme="minorHAnsi" w:hAnsiTheme="minorHAnsi"/>
          <w:b/>
          <w:sz w:val="22"/>
          <w:szCs w:val="22"/>
        </w:rPr>
        <w:t>MenACWY</w:t>
      </w:r>
      <w:r w:rsidRPr="001D47BE">
        <w:rPr>
          <w:rFonts w:asciiTheme="minorHAnsi" w:hAnsiTheme="minorHAnsi"/>
          <w:sz w:val="22"/>
          <w:szCs w:val="22"/>
        </w:rPr>
        <w:t xml:space="preserve"> PGDs for risk indications are now being reviewed and updated.  At the same time, the </w:t>
      </w:r>
      <w:r w:rsidRPr="00D07E4C">
        <w:rPr>
          <w:rFonts w:asciiTheme="minorHAnsi" w:hAnsiTheme="minorHAnsi"/>
          <w:b/>
          <w:sz w:val="22"/>
          <w:szCs w:val="22"/>
        </w:rPr>
        <w:t>routine</w:t>
      </w:r>
      <w:r w:rsidRPr="00D07E4C">
        <w:rPr>
          <w:rFonts w:asciiTheme="minorHAnsi" w:hAnsiTheme="minorHAnsi"/>
          <w:sz w:val="22"/>
          <w:szCs w:val="22"/>
        </w:rPr>
        <w:t xml:space="preserve"> </w:t>
      </w:r>
      <w:r w:rsidRPr="00D07E4C">
        <w:rPr>
          <w:rFonts w:asciiTheme="minorHAnsi" w:hAnsiTheme="minorHAnsi"/>
          <w:b/>
          <w:sz w:val="22"/>
          <w:szCs w:val="22"/>
        </w:rPr>
        <w:t>MenB</w:t>
      </w:r>
      <w:r w:rsidRPr="00D07E4C">
        <w:rPr>
          <w:rFonts w:asciiTheme="minorHAnsi" w:hAnsiTheme="minorHAnsi"/>
          <w:sz w:val="22"/>
          <w:szCs w:val="22"/>
        </w:rPr>
        <w:t xml:space="preserve"> PGD is being amended - because </w:t>
      </w:r>
      <w:proofErr w:type="spellStart"/>
      <w:r w:rsidRPr="00D07E4C">
        <w:rPr>
          <w:rFonts w:asciiTheme="minorHAnsi" w:hAnsiTheme="minorHAnsi"/>
          <w:sz w:val="22"/>
          <w:szCs w:val="22"/>
        </w:rPr>
        <w:t>Bexsero</w:t>
      </w:r>
      <w:proofErr w:type="spellEnd"/>
      <w:r w:rsidRPr="00D07E4C">
        <w:rPr>
          <w:rFonts w:asciiTheme="minorHAnsi" w:hAnsiTheme="minorHAnsi"/>
          <w:sz w:val="22"/>
          <w:szCs w:val="22"/>
        </w:rPr>
        <w:t>® is no longer a Black Triangle drug.</w:t>
      </w:r>
    </w:p>
    <w:p w:rsidR="00AF3301" w:rsidRDefault="00E3518E" w:rsidP="00B511A8">
      <w:pPr>
        <w:pStyle w:val="ListParagraph"/>
        <w:ind w:left="0"/>
        <w:rPr>
          <w:rFonts w:asciiTheme="minorHAnsi" w:hAnsiTheme="minorHAnsi"/>
          <w:sz w:val="22"/>
          <w:szCs w:val="22"/>
        </w:rPr>
      </w:pPr>
      <w:r>
        <w:rPr>
          <w:rFonts w:asciiTheme="minorHAnsi" w:hAnsiTheme="minorHAnsi"/>
          <w:sz w:val="22"/>
          <w:szCs w:val="22"/>
        </w:rPr>
        <w:t>……………………………………………………………………………………………………………………………………………………………</w:t>
      </w:r>
    </w:p>
    <w:p w:rsidR="00E3518E" w:rsidRDefault="00E3518E" w:rsidP="00B511A8">
      <w:pPr>
        <w:pStyle w:val="ListParagraph"/>
        <w:ind w:left="0"/>
        <w:rPr>
          <w:rFonts w:asciiTheme="minorHAnsi" w:hAnsiTheme="minorHAnsi"/>
          <w:b/>
          <w:u w:val="single"/>
        </w:rPr>
      </w:pPr>
    </w:p>
    <w:p w:rsidR="00D20B0B" w:rsidRPr="00E3518E" w:rsidRDefault="00D20B0B" w:rsidP="00B511A8">
      <w:pPr>
        <w:pStyle w:val="ListParagraph"/>
        <w:ind w:left="0"/>
        <w:rPr>
          <w:rFonts w:asciiTheme="minorHAnsi" w:hAnsiTheme="minorHAnsi"/>
          <w:b/>
          <w:u w:val="single"/>
        </w:rPr>
      </w:pPr>
      <w:r w:rsidRPr="00E3518E">
        <w:rPr>
          <w:rFonts w:asciiTheme="minorHAnsi" w:hAnsiTheme="minorHAnsi"/>
          <w:b/>
          <w:u w:val="single"/>
        </w:rPr>
        <w:t>Screening Information</w:t>
      </w:r>
    </w:p>
    <w:p w:rsidR="00D20B0B" w:rsidRDefault="00D20B0B" w:rsidP="00B511A8">
      <w:pPr>
        <w:pStyle w:val="ListParagraph"/>
        <w:ind w:left="0"/>
        <w:rPr>
          <w:rFonts w:asciiTheme="minorHAnsi" w:hAnsiTheme="minorHAnsi"/>
          <w:b/>
          <w:sz w:val="22"/>
          <w:szCs w:val="22"/>
        </w:rPr>
      </w:pPr>
    </w:p>
    <w:p w:rsidR="00D20B0B" w:rsidRDefault="00D20B0B" w:rsidP="00E3518E">
      <w:pPr>
        <w:pStyle w:val="ListParagraph"/>
        <w:numPr>
          <w:ilvl w:val="0"/>
          <w:numId w:val="7"/>
        </w:numPr>
        <w:ind w:left="284" w:firstLine="142"/>
        <w:rPr>
          <w:rFonts w:asciiTheme="minorHAnsi" w:hAnsiTheme="minorHAnsi"/>
          <w:b/>
          <w:sz w:val="22"/>
          <w:szCs w:val="22"/>
        </w:rPr>
      </w:pPr>
      <w:r>
        <w:rPr>
          <w:rFonts w:asciiTheme="minorHAnsi" w:hAnsiTheme="minorHAnsi"/>
          <w:b/>
          <w:sz w:val="22"/>
          <w:szCs w:val="22"/>
        </w:rPr>
        <w:t>Cervical Screening</w:t>
      </w:r>
    </w:p>
    <w:p w:rsidR="00D20B0B" w:rsidRDefault="00D20B0B" w:rsidP="00D20B0B">
      <w:pPr>
        <w:pStyle w:val="ListParagraph"/>
        <w:rPr>
          <w:rFonts w:asciiTheme="minorHAnsi" w:hAnsiTheme="minorHAnsi"/>
          <w:b/>
          <w:sz w:val="22"/>
          <w:szCs w:val="22"/>
        </w:rPr>
      </w:pPr>
    </w:p>
    <w:p w:rsidR="00D20B0B" w:rsidRPr="00D20B0B" w:rsidRDefault="00D20B0B" w:rsidP="00D20B0B">
      <w:r w:rsidRPr="00E3518E">
        <w:rPr>
          <w:b/>
        </w:rPr>
        <w:t>HPV Primary Screening implementation</w:t>
      </w:r>
      <w:r>
        <w:t xml:space="preserve"> -</w:t>
      </w:r>
      <w:r w:rsidRPr="00D20B0B">
        <w:rPr>
          <w:color w:val="00B050"/>
        </w:rPr>
        <w:t xml:space="preserve"> for information</w:t>
      </w:r>
    </w:p>
    <w:p w:rsidR="00D20B0B" w:rsidRDefault="00D20B0B" w:rsidP="003A3892">
      <w:pPr>
        <w:spacing w:line="240" w:lineRule="auto"/>
      </w:pPr>
      <w:r w:rsidRPr="00D20B0B">
        <w:t>A definite start date for the implementation of HPV Primary Screening in each county has yet to be finally agreed.  When a start date is confirmed we will write out to all stakeholders involved in the cervical screening programme, so do look out for further communication on this subject next year.</w:t>
      </w:r>
    </w:p>
    <w:p w:rsidR="00D20B0B" w:rsidRDefault="00D20B0B" w:rsidP="00D20B0B">
      <w:r w:rsidRPr="00E3518E">
        <w:rPr>
          <w:b/>
        </w:rPr>
        <w:t>PCSE new online form</w:t>
      </w:r>
      <w:r>
        <w:t xml:space="preserve"> </w:t>
      </w:r>
      <w:r w:rsidR="00AF3301">
        <w:t xml:space="preserve">- </w:t>
      </w:r>
      <w:r w:rsidR="00AF3301" w:rsidRPr="00AF3301">
        <w:rPr>
          <w:color w:val="00B050"/>
        </w:rPr>
        <w:t>for information</w:t>
      </w:r>
    </w:p>
    <w:p w:rsidR="00D20B0B" w:rsidRDefault="00D20B0B" w:rsidP="003A3892">
      <w:pPr>
        <w:spacing w:line="240" w:lineRule="auto"/>
      </w:pPr>
      <w:r w:rsidRPr="00D20B0B">
        <w:t>Please see the attached communication about the new PCSE online form for</w:t>
      </w:r>
      <w:r>
        <w:t xml:space="preserve"> cervical screening enquiries.  </w:t>
      </w:r>
      <w:r w:rsidRPr="00D20B0B">
        <w:t>The newly revised Cease/Reinstate/Defer forms are available on the PCSE website via the link below.   The forms will be included in the appendix of the revised national ceasing guidance which is due</w:t>
      </w:r>
      <w:r>
        <w:t xml:space="preserve"> to be published in early 2019.  </w:t>
      </w:r>
      <w:hyperlink r:id="rId11" w:history="1">
        <w:r w:rsidRPr="00043E76">
          <w:rPr>
            <w:rStyle w:val="Hyperlink"/>
          </w:rPr>
          <w:t>https://pcse.england.nhs.uk/services/cervical-screening/screening-for-gps-and-nurses/</w:t>
        </w:r>
      </w:hyperlink>
    </w:p>
    <w:p w:rsidR="00D20B0B" w:rsidRDefault="00D20B0B" w:rsidP="00D20B0B">
      <w:r>
        <w:object w:dxaOrig="1551" w:dyaOrig="1004">
          <v:shape id="_x0000_i1026" type="#_x0000_t75" style="width:77.25pt;height:50.25pt" o:ole="">
            <v:imagedata r:id="rId12" o:title=""/>
          </v:shape>
          <o:OLEObject Type="Embed" ProgID="AcroExch.Document.DC" ShapeID="_x0000_i1026" DrawAspect="Icon" ObjectID="_1606898405" r:id="rId13"/>
        </w:object>
      </w:r>
    </w:p>
    <w:p w:rsidR="00E3518E" w:rsidRPr="00D20B0B" w:rsidRDefault="00E3518E" w:rsidP="00D20B0B"/>
    <w:p w:rsidR="00E3518E" w:rsidRDefault="00E3518E" w:rsidP="00E3518E">
      <w:pPr>
        <w:pStyle w:val="ListParagraph"/>
        <w:numPr>
          <w:ilvl w:val="0"/>
          <w:numId w:val="7"/>
        </w:numPr>
        <w:rPr>
          <w:rFonts w:asciiTheme="minorHAnsi" w:hAnsiTheme="minorHAnsi"/>
          <w:b/>
          <w:sz w:val="22"/>
          <w:szCs w:val="22"/>
        </w:rPr>
      </w:pPr>
      <w:r w:rsidRPr="00E3518E">
        <w:rPr>
          <w:rFonts w:asciiTheme="minorHAnsi" w:hAnsiTheme="minorHAnsi"/>
          <w:b/>
          <w:sz w:val="22"/>
          <w:szCs w:val="22"/>
        </w:rPr>
        <w:t>Screening e-learning for GPs - for information</w:t>
      </w:r>
    </w:p>
    <w:p w:rsidR="00D20B0B" w:rsidRDefault="00E3518E" w:rsidP="003A3892">
      <w:pPr>
        <w:spacing w:line="240" w:lineRule="auto"/>
      </w:pPr>
      <w:r w:rsidRPr="00E3518E">
        <w:t xml:space="preserve">The Royal College of GPs (RCGP) has recently published new e-learning content, in conjunction with PHE Screening, that gives GP and primary care colleagues practical guidance to support patients in understanding and accessing NHS screening programmes, please see the PHE Blog via the link below: </w:t>
      </w:r>
      <w:hyperlink r:id="rId14" w:history="1">
        <w:r w:rsidRPr="00F531F7">
          <w:rPr>
            <w:rStyle w:val="Hyperlink"/>
          </w:rPr>
          <w:t>https://phescreening.blog.gov.uk/2018/11/23/new-screening-e-learning-content-published-for-gps/</w:t>
        </w:r>
      </w:hyperlink>
      <w:r>
        <w:t xml:space="preserve"> </w:t>
      </w:r>
    </w:p>
    <w:p w:rsidR="00E3518E" w:rsidRPr="00E3518E" w:rsidRDefault="00E3518E" w:rsidP="00E3518E"/>
    <w:p w:rsidR="00E41442" w:rsidRDefault="000A7581" w:rsidP="001D47BE">
      <w:pPr>
        <w:rPr>
          <w:sz w:val="24"/>
          <w:szCs w:val="24"/>
          <w:u w:val="single"/>
        </w:rPr>
      </w:pPr>
      <w:r w:rsidRPr="00E41442">
        <w:rPr>
          <w:sz w:val="24"/>
          <w:szCs w:val="24"/>
        </w:rPr>
        <w:t>……………………………………………………………………………………………………………………</w:t>
      </w:r>
      <w:r w:rsidR="00E41442" w:rsidRPr="00E41442">
        <w:rPr>
          <w:sz w:val="24"/>
          <w:szCs w:val="24"/>
        </w:rPr>
        <w:t>…………….</w:t>
      </w:r>
      <w:r w:rsidRPr="00E41442">
        <w:rPr>
          <w:sz w:val="24"/>
          <w:szCs w:val="24"/>
        </w:rPr>
        <w:t>….</w:t>
      </w:r>
    </w:p>
    <w:p w:rsidR="00E3518E" w:rsidRDefault="00E3518E" w:rsidP="00E41442">
      <w:pPr>
        <w:spacing w:after="0" w:line="270" w:lineRule="atLeast"/>
        <w:rPr>
          <w:b/>
          <w:sz w:val="24"/>
          <w:szCs w:val="24"/>
        </w:rPr>
      </w:pPr>
    </w:p>
    <w:p w:rsidR="003A3E54" w:rsidRDefault="003A3E54" w:rsidP="00E41442">
      <w:pPr>
        <w:spacing w:after="0" w:line="270" w:lineRule="atLeast"/>
        <w:rPr>
          <w:b/>
          <w:sz w:val="24"/>
          <w:szCs w:val="24"/>
        </w:rPr>
      </w:pPr>
      <w:r w:rsidRPr="005440D8">
        <w:rPr>
          <w:b/>
          <w:sz w:val="24"/>
          <w:szCs w:val="24"/>
        </w:rPr>
        <w:t>Screening and Immunisation Team – where to direct your queries</w:t>
      </w:r>
    </w:p>
    <w:p w:rsidR="00E41442" w:rsidRPr="005440D8" w:rsidRDefault="00E41442" w:rsidP="00E41442">
      <w:pPr>
        <w:spacing w:after="0" w:line="270" w:lineRule="atLeast"/>
        <w:rPr>
          <w:b/>
          <w:sz w:val="24"/>
          <w:szCs w:val="24"/>
        </w:rPr>
      </w:pPr>
    </w:p>
    <w:p w:rsidR="00C359D0" w:rsidRPr="00B511A8" w:rsidRDefault="00C359D0" w:rsidP="00E41442">
      <w:pPr>
        <w:spacing w:after="0" w:line="270" w:lineRule="atLeast"/>
        <w:rPr>
          <w:rFonts w:ascii="Calibri" w:eastAsia="Calibri" w:hAnsi="Calibri" w:cs="Times New Roman"/>
          <w:color w:val="000000" w:themeColor="text1"/>
        </w:rPr>
      </w:pPr>
      <w:r w:rsidRPr="00B511A8">
        <w:rPr>
          <w:rFonts w:ascii="Calibri" w:eastAsia="Calibri" w:hAnsi="Calibri" w:cs="Times New Roman"/>
        </w:rPr>
        <w:t xml:space="preserve">General immunisation queries and any problems with immunisation payments and claims can be directed to england.llimms@nhs.net and PGDs can be found on our website </w:t>
      </w:r>
      <w:hyperlink r:id="rId15" w:history="1">
        <w:r w:rsidRPr="00B511A8">
          <w:rPr>
            <w:rFonts w:ascii="Calibri" w:eastAsia="Calibri" w:hAnsi="Calibri" w:cs="Times New Roman"/>
            <w:color w:val="0000FF"/>
            <w:u w:val="single"/>
          </w:rPr>
          <w:t>https://www.england.nhs.uk/mids-east/info-professionals/ll-immunisation/</w:t>
        </w:r>
      </w:hyperlink>
      <w:r w:rsidRPr="00B511A8">
        <w:rPr>
          <w:rFonts w:ascii="Calibri" w:eastAsia="Calibri" w:hAnsi="Calibri" w:cs="Times New Roman"/>
          <w:color w:val="1F497D"/>
        </w:rPr>
        <w:t>.</w:t>
      </w:r>
    </w:p>
    <w:p w:rsidR="00C359D0" w:rsidRPr="00B511A8" w:rsidRDefault="00C359D0" w:rsidP="00E41442">
      <w:pPr>
        <w:spacing w:after="0" w:line="270" w:lineRule="atLeast"/>
        <w:rPr>
          <w:rFonts w:ascii="Calibri" w:eastAsia="Calibri" w:hAnsi="Calibri" w:cs="Times New Roman"/>
          <w:color w:val="000000" w:themeColor="text1"/>
        </w:rPr>
      </w:pPr>
    </w:p>
    <w:p w:rsidR="003A3E54" w:rsidRPr="00B511A8" w:rsidRDefault="003A3E54" w:rsidP="00E41442">
      <w:pPr>
        <w:spacing w:after="0" w:line="270" w:lineRule="atLeast"/>
      </w:pPr>
      <w:r w:rsidRPr="00B511A8">
        <w:rPr>
          <w:b/>
        </w:rPr>
        <w:t>General enquiries to</w:t>
      </w:r>
      <w:r w:rsidRPr="00B511A8">
        <w:t xml:space="preserve"> – </w:t>
      </w:r>
    </w:p>
    <w:p w:rsidR="003A3E54" w:rsidRPr="00B511A8" w:rsidRDefault="003A3E54" w:rsidP="00E41442">
      <w:pPr>
        <w:spacing w:after="0" w:line="270" w:lineRule="atLeast"/>
      </w:pPr>
      <w:r w:rsidRPr="00B511A8">
        <w:t xml:space="preserve">Louise Fergusson on 0113 824 9515 / 07568 431900 </w:t>
      </w:r>
    </w:p>
    <w:p w:rsidR="003A3E54" w:rsidRPr="00B511A8" w:rsidRDefault="003A3E54" w:rsidP="00E41442">
      <w:pPr>
        <w:spacing w:after="0" w:line="270" w:lineRule="atLeast"/>
      </w:pPr>
      <w:r w:rsidRPr="00B511A8">
        <w:t>Louise.fergusson@nhs.net</w:t>
      </w:r>
    </w:p>
    <w:p w:rsidR="003A3E54" w:rsidRPr="00B511A8" w:rsidRDefault="003A3E54" w:rsidP="00E41442">
      <w:pPr>
        <w:spacing w:after="0" w:line="270" w:lineRule="atLeast"/>
      </w:pPr>
      <w:r w:rsidRPr="00B511A8">
        <w:t xml:space="preserve"> </w:t>
      </w:r>
      <w:r w:rsidR="004E716F" w:rsidRPr="00B511A8">
        <w:t>Or</w:t>
      </w:r>
      <w:r w:rsidRPr="00B511A8">
        <w:t xml:space="preserve"> </w:t>
      </w:r>
    </w:p>
    <w:p w:rsidR="003D584A" w:rsidRPr="00B511A8" w:rsidRDefault="003A3E54" w:rsidP="00E41442">
      <w:pPr>
        <w:spacing w:after="0" w:line="270" w:lineRule="atLeast"/>
      </w:pPr>
      <w:r w:rsidRPr="00B511A8">
        <w:t>Vanessa Robinson on 0113 825 3495 / 07714 772645</w:t>
      </w:r>
    </w:p>
    <w:p w:rsidR="003A3E54" w:rsidRPr="00B511A8" w:rsidRDefault="003A3E54" w:rsidP="00E41442">
      <w:pPr>
        <w:spacing w:after="0" w:line="270" w:lineRule="atLeast"/>
      </w:pPr>
      <w:r w:rsidRPr="00B511A8">
        <w:t>Vanessa.robinson3@nhs.net</w:t>
      </w:r>
    </w:p>
    <w:p w:rsidR="00B511A8" w:rsidRDefault="00B511A8" w:rsidP="00E41442">
      <w:pPr>
        <w:spacing w:after="0" w:line="270" w:lineRule="atLeast"/>
        <w:rPr>
          <w:b/>
        </w:rPr>
      </w:pPr>
    </w:p>
    <w:p w:rsidR="003A3E54" w:rsidRPr="00B511A8" w:rsidRDefault="003A3E54" w:rsidP="00E41442">
      <w:pPr>
        <w:spacing w:after="0" w:line="270" w:lineRule="atLeast"/>
        <w:rPr>
          <w:b/>
        </w:rPr>
      </w:pPr>
      <w:r w:rsidRPr="00B511A8">
        <w:rPr>
          <w:b/>
        </w:rPr>
        <w:t xml:space="preserve">Health Protection Team Contact Details </w:t>
      </w:r>
    </w:p>
    <w:p w:rsidR="000A7581" w:rsidRPr="00B511A8" w:rsidRDefault="00FA41CF" w:rsidP="00E41442">
      <w:pPr>
        <w:spacing w:after="0" w:line="270" w:lineRule="atLeast"/>
      </w:pPr>
      <w:r w:rsidRPr="00B511A8">
        <w:t xml:space="preserve">The PHE </w:t>
      </w:r>
      <w:r w:rsidR="003A3E54" w:rsidRPr="00B511A8">
        <w:t xml:space="preserve">Health Protection Team now </w:t>
      </w:r>
      <w:r w:rsidR="004E716F" w:rsidRPr="00B511A8">
        <w:t>operates</w:t>
      </w:r>
      <w:r w:rsidR="003A3E54" w:rsidRPr="00B511A8">
        <w:t xml:space="preserve"> an Acute Response Centre (ARC)</w:t>
      </w:r>
      <w:r w:rsidRPr="00B511A8">
        <w:t>. T</w:t>
      </w:r>
      <w:r w:rsidR="004E716F" w:rsidRPr="00B511A8">
        <w:t>o</w:t>
      </w:r>
      <w:r w:rsidR="003A3E54" w:rsidRPr="00B511A8">
        <w:t xml:space="preserve"> contact them dial 03442254524 – option 1 and they will answer any immediate immunisation queries.</w:t>
      </w:r>
    </w:p>
    <w:sectPr w:rsidR="000A7581" w:rsidRPr="00B511A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07" w:rsidRDefault="00466207" w:rsidP="00AC30E2">
      <w:pPr>
        <w:spacing w:after="0" w:line="240" w:lineRule="auto"/>
      </w:pPr>
      <w:r>
        <w:separator/>
      </w:r>
    </w:p>
  </w:endnote>
  <w:endnote w:type="continuationSeparator" w:id="0">
    <w:p w:rsidR="00466207" w:rsidRDefault="00466207" w:rsidP="00AC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28779"/>
      <w:docPartObj>
        <w:docPartGallery w:val="Page Numbers (Bottom of Page)"/>
        <w:docPartUnique/>
      </w:docPartObj>
    </w:sdtPr>
    <w:sdtEndPr>
      <w:rPr>
        <w:noProof/>
      </w:rPr>
    </w:sdtEndPr>
    <w:sdtContent>
      <w:p w:rsidR="001C5122" w:rsidRDefault="001C5122">
        <w:pPr>
          <w:pStyle w:val="Footer"/>
          <w:jc w:val="right"/>
        </w:pPr>
        <w:r>
          <w:fldChar w:fldCharType="begin"/>
        </w:r>
        <w:r>
          <w:instrText xml:space="preserve"> PAGE   \* MERGEFORMAT </w:instrText>
        </w:r>
        <w:r>
          <w:fldChar w:fldCharType="separate"/>
        </w:r>
        <w:r w:rsidR="0071159F">
          <w:rPr>
            <w:noProof/>
          </w:rPr>
          <w:t>3</w:t>
        </w:r>
        <w:r>
          <w:rPr>
            <w:noProof/>
          </w:rPr>
          <w:fldChar w:fldCharType="end"/>
        </w:r>
      </w:p>
    </w:sdtContent>
  </w:sdt>
  <w:p w:rsidR="001C5122" w:rsidRDefault="001C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07" w:rsidRDefault="00466207" w:rsidP="00AC30E2">
      <w:pPr>
        <w:spacing w:after="0" w:line="240" w:lineRule="auto"/>
      </w:pPr>
      <w:r>
        <w:separator/>
      </w:r>
    </w:p>
  </w:footnote>
  <w:footnote w:type="continuationSeparator" w:id="0">
    <w:p w:rsidR="00466207" w:rsidRDefault="00466207" w:rsidP="00AC3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BC"/>
      </v:shape>
    </w:pict>
  </w:numPicBullet>
  <w:abstractNum w:abstractNumId="0">
    <w:nsid w:val="0E161783"/>
    <w:multiLevelType w:val="hybridMultilevel"/>
    <w:tmpl w:val="A25E756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3D0F6E"/>
    <w:multiLevelType w:val="hybridMultilevel"/>
    <w:tmpl w:val="2E4C9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2CB31A22"/>
    <w:multiLevelType w:val="hybridMultilevel"/>
    <w:tmpl w:val="7C5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33A3F"/>
    <w:multiLevelType w:val="hybridMultilevel"/>
    <w:tmpl w:val="0728DEC0"/>
    <w:lvl w:ilvl="0" w:tplc="380CA5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802EF1"/>
    <w:multiLevelType w:val="hybridMultilevel"/>
    <w:tmpl w:val="236E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D5C65"/>
    <w:multiLevelType w:val="hybridMultilevel"/>
    <w:tmpl w:val="99C22356"/>
    <w:lvl w:ilvl="0" w:tplc="08090001">
      <w:start w:val="1"/>
      <w:numFmt w:val="bullet"/>
      <w:lvlText w:val=""/>
      <w:lvlJc w:val="left"/>
      <w:pPr>
        <w:ind w:left="2930" w:hanging="360"/>
      </w:pPr>
      <w:rPr>
        <w:rFonts w:ascii="Symbol" w:hAnsi="Symbol" w:hint="default"/>
      </w:rPr>
    </w:lvl>
    <w:lvl w:ilvl="1" w:tplc="08090003" w:tentative="1">
      <w:start w:val="1"/>
      <w:numFmt w:val="bullet"/>
      <w:lvlText w:val="o"/>
      <w:lvlJc w:val="left"/>
      <w:pPr>
        <w:ind w:left="3650" w:hanging="360"/>
      </w:pPr>
      <w:rPr>
        <w:rFonts w:ascii="Courier New" w:hAnsi="Courier New" w:cs="Courier New" w:hint="default"/>
      </w:rPr>
    </w:lvl>
    <w:lvl w:ilvl="2" w:tplc="08090005" w:tentative="1">
      <w:start w:val="1"/>
      <w:numFmt w:val="bullet"/>
      <w:lvlText w:val=""/>
      <w:lvlJc w:val="left"/>
      <w:pPr>
        <w:ind w:left="4370" w:hanging="360"/>
      </w:pPr>
      <w:rPr>
        <w:rFonts w:ascii="Wingdings" w:hAnsi="Wingdings" w:hint="default"/>
      </w:rPr>
    </w:lvl>
    <w:lvl w:ilvl="3" w:tplc="08090001" w:tentative="1">
      <w:start w:val="1"/>
      <w:numFmt w:val="bullet"/>
      <w:lvlText w:val=""/>
      <w:lvlJc w:val="left"/>
      <w:pPr>
        <w:ind w:left="5090" w:hanging="360"/>
      </w:pPr>
      <w:rPr>
        <w:rFonts w:ascii="Symbol" w:hAnsi="Symbol" w:hint="default"/>
      </w:rPr>
    </w:lvl>
    <w:lvl w:ilvl="4" w:tplc="08090003" w:tentative="1">
      <w:start w:val="1"/>
      <w:numFmt w:val="bullet"/>
      <w:lvlText w:val="o"/>
      <w:lvlJc w:val="left"/>
      <w:pPr>
        <w:ind w:left="5810" w:hanging="360"/>
      </w:pPr>
      <w:rPr>
        <w:rFonts w:ascii="Courier New" w:hAnsi="Courier New" w:cs="Courier New" w:hint="default"/>
      </w:rPr>
    </w:lvl>
    <w:lvl w:ilvl="5" w:tplc="08090005" w:tentative="1">
      <w:start w:val="1"/>
      <w:numFmt w:val="bullet"/>
      <w:lvlText w:val=""/>
      <w:lvlJc w:val="left"/>
      <w:pPr>
        <w:ind w:left="6530" w:hanging="360"/>
      </w:pPr>
      <w:rPr>
        <w:rFonts w:ascii="Wingdings" w:hAnsi="Wingdings" w:hint="default"/>
      </w:rPr>
    </w:lvl>
    <w:lvl w:ilvl="6" w:tplc="08090001" w:tentative="1">
      <w:start w:val="1"/>
      <w:numFmt w:val="bullet"/>
      <w:lvlText w:val=""/>
      <w:lvlJc w:val="left"/>
      <w:pPr>
        <w:ind w:left="7250" w:hanging="360"/>
      </w:pPr>
      <w:rPr>
        <w:rFonts w:ascii="Symbol" w:hAnsi="Symbol" w:hint="default"/>
      </w:rPr>
    </w:lvl>
    <w:lvl w:ilvl="7" w:tplc="08090003" w:tentative="1">
      <w:start w:val="1"/>
      <w:numFmt w:val="bullet"/>
      <w:lvlText w:val="o"/>
      <w:lvlJc w:val="left"/>
      <w:pPr>
        <w:ind w:left="7970" w:hanging="360"/>
      </w:pPr>
      <w:rPr>
        <w:rFonts w:ascii="Courier New" w:hAnsi="Courier New" w:cs="Courier New" w:hint="default"/>
      </w:rPr>
    </w:lvl>
    <w:lvl w:ilvl="8" w:tplc="08090005" w:tentative="1">
      <w:start w:val="1"/>
      <w:numFmt w:val="bullet"/>
      <w:lvlText w:val=""/>
      <w:lvlJc w:val="left"/>
      <w:pPr>
        <w:ind w:left="8690" w:hanging="360"/>
      </w:pPr>
      <w:rPr>
        <w:rFonts w:ascii="Wingdings" w:hAnsi="Wingdings" w:hint="default"/>
      </w:rPr>
    </w:lvl>
  </w:abstractNum>
  <w:abstractNum w:abstractNumId="6">
    <w:nsid w:val="4F5365F1"/>
    <w:multiLevelType w:val="hybridMultilevel"/>
    <w:tmpl w:val="39A8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912191"/>
    <w:multiLevelType w:val="hybridMultilevel"/>
    <w:tmpl w:val="25FC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229B9"/>
    <w:multiLevelType w:val="hybridMultilevel"/>
    <w:tmpl w:val="921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27408"/>
    <w:multiLevelType w:val="hybridMultilevel"/>
    <w:tmpl w:val="6444E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BF7F8C"/>
    <w:multiLevelType w:val="hybridMultilevel"/>
    <w:tmpl w:val="9FFA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9"/>
  </w:num>
  <w:num w:numId="6">
    <w:abstractNumId w:val="3"/>
  </w:num>
  <w:num w:numId="7">
    <w:abstractNumId w:val="10"/>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E2"/>
    <w:rsid w:val="000207C0"/>
    <w:rsid w:val="000A7581"/>
    <w:rsid w:val="000D0B6B"/>
    <w:rsid w:val="00120103"/>
    <w:rsid w:val="001671D2"/>
    <w:rsid w:val="001C5122"/>
    <w:rsid w:val="001D47BE"/>
    <w:rsid w:val="00235126"/>
    <w:rsid w:val="002439C7"/>
    <w:rsid w:val="00254954"/>
    <w:rsid w:val="0027119F"/>
    <w:rsid w:val="00303830"/>
    <w:rsid w:val="00371E0B"/>
    <w:rsid w:val="003A3892"/>
    <w:rsid w:val="003A3E54"/>
    <w:rsid w:val="003A7177"/>
    <w:rsid w:val="003D584A"/>
    <w:rsid w:val="00466207"/>
    <w:rsid w:val="004E716F"/>
    <w:rsid w:val="004F4386"/>
    <w:rsid w:val="0050617E"/>
    <w:rsid w:val="005440D8"/>
    <w:rsid w:val="00647CE0"/>
    <w:rsid w:val="006510EC"/>
    <w:rsid w:val="006900E6"/>
    <w:rsid w:val="006F76E2"/>
    <w:rsid w:val="0071159F"/>
    <w:rsid w:val="00781346"/>
    <w:rsid w:val="007B2777"/>
    <w:rsid w:val="00837FDF"/>
    <w:rsid w:val="00847DD6"/>
    <w:rsid w:val="008B797A"/>
    <w:rsid w:val="00924327"/>
    <w:rsid w:val="009A4615"/>
    <w:rsid w:val="009F0472"/>
    <w:rsid w:val="00A54A05"/>
    <w:rsid w:val="00AC289E"/>
    <w:rsid w:val="00AC30E2"/>
    <w:rsid w:val="00AF3301"/>
    <w:rsid w:val="00B511A8"/>
    <w:rsid w:val="00B71D88"/>
    <w:rsid w:val="00B86110"/>
    <w:rsid w:val="00BE3AE2"/>
    <w:rsid w:val="00C359D0"/>
    <w:rsid w:val="00C77339"/>
    <w:rsid w:val="00C84132"/>
    <w:rsid w:val="00D07E4C"/>
    <w:rsid w:val="00D20B0B"/>
    <w:rsid w:val="00D46A82"/>
    <w:rsid w:val="00DB30E6"/>
    <w:rsid w:val="00E3518E"/>
    <w:rsid w:val="00E41442"/>
    <w:rsid w:val="00EA11BF"/>
    <w:rsid w:val="00F1134B"/>
    <w:rsid w:val="00F567AF"/>
    <w:rsid w:val="00F63EFC"/>
    <w:rsid w:val="00F8105F"/>
    <w:rsid w:val="00FA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ubject line"/>
    <w:basedOn w:val="Normal"/>
    <w:next w:val="Normal"/>
    <w:link w:val="Heading1Char"/>
    <w:uiPriority w:val="99"/>
    <w:qFormat/>
    <w:rsid w:val="00AC30E2"/>
    <w:pPr>
      <w:spacing w:after="0" w:line="280" w:lineRule="atLeast"/>
      <w:outlineLvl w:val="0"/>
    </w:pPr>
    <w:rPr>
      <w:rFonts w:ascii="Arial" w:eastAsia="Calibri"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unhideWhenUsed/>
    <w:rsid w:val="00AC30E2"/>
    <w:pPr>
      <w:tabs>
        <w:tab w:val="center" w:pos="4513"/>
        <w:tab w:val="right" w:pos="9026"/>
      </w:tabs>
      <w:spacing w:after="0" w:line="240" w:lineRule="auto"/>
    </w:pPr>
    <w:rPr>
      <w:rFonts w:ascii="Arial" w:eastAsia="Calibri" w:hAnsi="Arial" w:cs="Times New Roman"/>
      <w:sz w:val="24"/>
      <w:szCs w:val="24"/>
    </w:rPr>
  </w:style>
  <w:style w:type="character" w:customStyle="1" w:styleId="HeaderChar">
    <w:name w:val="Header Char"/>
    <w:aliases w:val="Addressee list Char"/>
    <w:basedOn w:val="DefaultParagraphFont"/>
    <w:link w:val="Header"/>
    <w:uiPriority w:val="99"/>
    <w:rsid w:val="00AC30E2"/>
    <w:rPr>
      <w:rFonts w:ascii="Arial" w:eastAsia="Calibri" w:hAnsi="Arial" w:cs="Times New Roman"/>
      <w:sz w:val="24"/>
      <w:szCs w:val="24"/>
    </w:rPr>
  </w:style>
  <w:style w:type="paragraph" w:styleId="Footer">
    <w:name w:val="footer"/>
    <w:basedOn w:val="Normal"/>
    <w:link w:val="FooterChar"/>
    <w:uiPriority w:val="99"/>
    <w:unhideWhenUsed/>
    <w:rsid w:val="00AC3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0E2"/>
  </w:style>
  <w:style w:type="character" w:customStyle="1" w:styleId="Heading1Char">
    <w:name w:val="Heading 1 Char"/>
    <w:aliases w:val="Subject line Char"/>
    <w:basedOn w:val="DefaultParagraphFont"/>
    <w:link w:val="Heading1"/>
    <w:uiPriority w:val="99"/>
    <w:rsid w:val="00AC30E2"/>
    <w:rPr>
      <w:rFonts w:ascii="Arial" w:eastAsia="Calibri" w:hAnsi="Arial" w:cs="Times New Roman"/>
      <w:b/>
      <w:sz w:val="24"/>
      <w:szCs w:val="24"/>
    </w:rPr>
  </w:style>
  <w:style w:type="paragraph" w:styleId="ListParagraph">
    <w:name w:val="List Paragraph"/>
    <w:basedOn w:val="Normal"/>
    <w:uiPriority w:val="34"/>
    <w:qFormat/>
    <w:rsid w:val="00AC30E2"/>
    <w:pPr>
      <w:spacing w:after="0" w:line="280" w:lineRule="atLeast"/>
      <w:ind w:left="720"/>
      <w:contextualSpacing/>
    </w:pPr>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B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7A"/>
    <w:rPr>
      <w:rFonts w:ascii="Tahoma" w:hAnsi="Tahoma" w:cs="Tahoma"/>
      <w:sz w:val="16"/>
      <w:szCs w:val="16"/>
    </w:rPr>
  </w:style>
  <w:style w:type="character" w:styleId="Hyperlink">
    <w:name w:val="Hyperlink"/>
    <w:basedOn w:val="DefaultParagraphFont"/>
    <w:uiPriority w:val="99"/>
    <w:unhideWhenUsed/>
    <w:rsid w:val="00235126"/>
    <w:rPr>
      <w:color w:val="0000FF" w:themeColor="hyperlink"/>
      <w:u w:val="single"/>
    </w:rPr>
  </w:style>
  <w:style w:type="character" w:styleId="FollowedHyperlink">
    <w:name w:val="FollowedHyperlink"/>
    <w:basedOn w:val="DefaultParagraphFont"/>
    <w:uiPriority w:val="99"/>
    <w:semiHidden/>
    <w:unhideWhenUsed/>
    <w:rsid w:val="00544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se.england.nhs.uk/services/cervical-screening/screening-for-gps-and-nurses/" TargetMode="External"/><Relationship Id="rId5" Type="http://schemas.openxmlformats.org/officeDocument/2006/relationships/webSettings" Target="webSettings.xml"/><Relationship Id="rId15" Type="http://schemas.openxmlformats.org/officeDocument/2006/relationships/hyperlink" Target="https://www.england.nhs.uk/mids-east/info-professionals/ll-immunisation/" TargetMode="External"/><Relationship Id="rId10" Type="http://schemas.openxmlformats.org/officeDocument/2006/relationships/hyperlink" Target="https://assets.publishing.service.gov.uk/government/uploads/system/uploads/attachment_data/file/759287/VU_288_November_2018.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hescreening.blog.gov.uk/2018/11/23/new-screening-e-learning-content-published-for-g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Fergusson Louise - Fitness to Practice PA</dc:creator>
  <cp:lastModifiedBy>Robinson, Vanessa</cp:lastModifiedBy>
  <cp:revision>2</cp:revision>
  <dcterms:created xsi:type="dcterms:W3CDTF">2018-12-21T11:54:00Z</dcterms:created>
  <dcterms:modified xsi:type="dcterms:W3CDTF">2018-12-21T11:54:00Z</dcterms:modified>
</cp:coreProperties>
</file>