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66A1" w14:textId="77777777" w:rsidR="00D54171" w:rsidRDefault="00D54171" w:rsidP="00D54171">
      <w:pPr>
        <w:pStyle w:val="Heading1"/>
        <w:jc w:val="right"/>
        <w:rPr>
          <w:rFonts w:ascii="Calibri" w:hAnsi="Calibri" w:cs="Calibri"/>
          <w:sz w:val="44"/>
          <w:szCs w:val="44"/>
          <w:lang w:eastAsia="en-GB"/>
        </w:rPr>
      </w:pPr>
      <w:bookmarkStart w:id="0" w:name="_GoBack"/>
      <w:bookmarkEnd w:id="0"/>
      <w:r>
        <w:rPr>
          <w:rFonts w:ascii="Calibri" w:hAnsi="Calibri" w:cs="Calibri"/>
          <w:sz w:val="44"/>
          <w:szCs w:val="44"/>
          <w:lang w:eastAsia="en-GB"/>
        </w:rPr>
        <w:t>(revised 1</w:t>
      </w:r>
      <w:r w:rsidRPr="00D54171">
        <w:rPr>
          <w:rFonts w:ascii="Calibri" w:hAnsi="Calibri" w:cs="Calibri"/>
          <w:sz w:val="44"/>
          <w:szCs w:val="44"/>
          <w:vertAlign w:val="superscript"/>
          <w:lang w:eastAsia="en-GB"/>
        </w:rPr>
        <w:t>st</w:t>
      </w:r>
      <w:r>
        <w:rPr>
          <w:rFonts w:ascii="Calibri" w:hAnsi="Calibri" w:cs="Calibri"/>
          <w:sz w:val="44"/>
          <w:szCs w:val="44"/>
          <w:lang w:eastAsia="en-GB"/>
        </w:rPr>
        <w:t xml:space="preserve"> May 2018)</w:t>
      </w:r>
    </w:p>
    <w:p w14:paraId="4C920D93" w14:textId="77777777" w:rsidR="00E142AC" w:rsidRPr="00567526" w:rsidRDefault="00D54171" w:rsidP="00E142AC">
      <w:pPr>
        <w:pStyle w:val="Heading1"/>
        <w:rPr>
          <w:rFonts w:ascii="Calibri" w:hAnsi="Calibri" w:cs="Calibri"/>
          <w:sz w:val="44"/>
          <w:szCs w:val="44"/>
          <w:lang w:eastAsia="en-GB"/>
        </w:rPr>
      </w:pPr>
      <w:r>
        <w:rPr>
          <w:rFonts w:ascii="Calibri" w:hAnsi="Calibri" w:cs="Calibri"/>
          <w:sz w:val="44"/>
          <w:szCs w:val="44"/>
          <w:lang w:eastAsia="en-GB"/>
        </w:rPr>
        <w:t xml:space="preserve">7 </w:t>
      </w:r>
      <w:r w:rsidR="00E142AC" w:rsidRPr="00567526">
        <w:rPr>
          <w:rFonts w:ascii="Calibri" w:hAnsi="Calibri" w:cs="Calibri"/>
          <w:sz w:val="44"/>
          <w:szCs w:val="44"/>
          <w:lang w:eastAsia="en-GB"/>
        </w:rPr>
        <w:t xml:space="preserve">Blog </w:t>
      </w:r>
      <w:r>
        <w:rPr>
          <w:rFonts w:ascii="Calibri" w:hAnsi="Calibri" w:cs="Calibri"/>
          <w:sz w:val="44"/>
          <w:szCs w:val="44"/>
          <w:lang w:eastAsia="en-GB"/>
        </w:rPr>
        <w:t xml:space="preserve">Seven </w:t>
      </w:r>
      <w:r w:rsidR="00E142AC" w:rsidRPr="00567526">
        <w:rPr>
          <w:rFonts w:ascii="Calibri" w:hAnsi="Calibri" w:cs="Calibri"/>
          <w:sz w:val="44"/>
          <w:szCs w:val="44"/>
          <w:lang w:eastAsia="en-GB"/>
        </w:rPr>
        <w:t>Subject Access Requests</w:t>
      </w:r>
      <w:r w:rsidR="007219D9" w:rsidRPr="00567526">
        <w:rPr>
          <w:rFonts w:ascii="Calibri" w:hAnsi="Calibri" w:cs="Calibri"/>
          <w:sz w:val="44"/>
          <w:szCs w:val="44"/>
          <w:lang w:eastAsia="en-GB"/>
        </w:rPr>
        <w:t>, SARs and TSARs</w:t>
      </w:r>
    </w:p>
    <w:p w14:paraId="1A1F9E24" w14:textId="77777777" w:rsidR="00F24339" w:rsidRPr="00567526" w:rsidRDefault="00F24339" w:rsidP="00F24339">
      <w:pPr>
        <w:rPr>
          <w:rFonts w:cs="Calibri"/>
          <w:sz w:val="32"/>
          <w:szCs w:val="32"/>
          <w:lang w:eastAsia="en-GB"/>
        </w:rPr>
      </w:pPr>
    </w:p>
    <w:p w14:paraId="4A028778" w14:textId="77777777" w:rsidR="00443638" w:rsidRPr="00567526" w:rsidRDefault="00443638" w:rsidP="00443638">
      <w:pPr>
        <w:rPr>
          <w:rFonts w:cs="Calibri"/>
          <w:b/>
          <w:sz w:val="32"/>
          <w:szCs w:val="32"/>
          <w:u w:val="single"/>
        </w:rPr>
      </w:pPr>
      <w:r w:rsidRPr="00567526">
        <w:rPr>
          <w:rFonts w:cs="Calibri"/>
          <w:b/>
          <w:sz w:val="32"/>
          <w:szCs w:val="32"/>
          <w:u w:val="single"/>
        </w:rPr>
        <w:t>What’s different about S</w:t>
      </w:r>
      <w:r w:rsidR="00E142AC" w:rsidRPr="00567526">
        <w:rPr>
          <w:rFonts w:cs="Calibri"/>
          <w:b/>
          <w:sz w:val="32"/>
          <w:szCs w:val="32"/>
          <w:u w:val="single"/>
        </w:rPr>
        <w:t>u</w:t>
      </w:r>
      <w:r w:rsidR="005B2195" w:rsidRPr="00567526">
        <w:rPr>
          <w:rFonts w:cs="Calibri"/>
          <w:b/>
          <w:sz w:val="32"/>
          <w:szCs w:val="32"/>
          <w:u w:val="single"/>
        </w:rPr>
        <w:t>b</w:t>
      </w:r>
      <w:r w:rsidR="00E142AC" w:rsidRPr="00567526">
        <w:rPr>
          <w:rFonts w:cs="Calibri"/>
          <w:b/>
          <w:sz w:val="32"/>
          <w:szCs w:val="32"/>
          <w:u w:val="single"/>
        </w:rPr>
        <w:t>ject Access Requests (S</w:t>
      </w:r>
      <w:r w:rsidRPr="00567526">
        <w:rPr>
          <w:rFonts w:cs="Calibri"/>
          <w:b/>
          <w:sz w:val="32"/>
          <w:szCs w:val="32"/>
          <w:u w:val="single"/>
        </w:rPr>
        <w:t>ARs</w:t>
      </w:r>
      <w:r w:rsidR="00E142AC" w:rsidRPr="00567526">
        <w:rPr>
          <w:rFonts w:cs="Calibri"/>
          <w:b/>
          <w:sz w:val="32"/>
          <w:szCs w:val="32"/>
          <w:u w:val="single"/>
        </w:rPr>
        <w:t>)?</w:t>
      </w:r>
    </w:p>
    <w:p w14:paraId="5E13EFDE" w14:textId="77777777" w:rsidR="00E142AC" w:rsidRPr="00567526" w:rsidRDefault="00E142AC" w:rsidP="00443638">
      <w:pPr>
        <w:rPr>
          <w:rFonts w:cs="Calibri"/>
          <w:b/>
          <w:sz w:val="32"/>
          <w:szCs w:val="32"/>
        </w:rPr>
      </w:pPr>
    </w:p>
    <w:p w14:paraId="3DE5F95B" w14:textId="77777777" w:rsidR="005B2195" w:rsidRPr="00567526" w:rsidRDefault="005B2195" w:rsidP="00443638">
      <w:pPr>
        <w:rPr>
          <w:rFonts w:cs="Calibri"/>
          <w:sz w:val="32"/>
          <w:szCs w:val="32"/>
        </w:rPr>
      </w:pPr>
      <w:r w:rsidRPr="00567526">
        <w:rPr>
          <w:rFonts w:cs="Calibri"/>
          <w:sz w:val="32"/>
          <w:szCs w:val="32"/>
        </w:rPr>
        <w:t xml:space="preserve">The fundamental has not changed, its their data, they must have access to it. So, whilst there might seem to be many reasons for not giving up their data </w:t>
      </w:r>
      <w:r w:rsidR="00AA60FC">
        <w:rPr>
          <w:rFonts w:cs="Calibri"/>
          <w:sz w:val="32"/>
          <w:szCs w:val="32"/>
        </w:rPr>
        <w:t>listed</w:t>
      </w:r>
      <w:r w:rsidRPr="00567526">
        <w:rPr>
          <w:rFonts w:cs="Calibri"/>
          <w:sz w:val="32"/>
          <w:szCs w:val="32"/>
        </w:rPr>
        <w:t xml:space="preserve"> in this blog the default assumption remains that patients have a right to see their records and as DCs we </w:t>
      </w:r>
      <w:r w:rsidR="00FF0342">
        <w:rPr>
          <w:rFonts w:cs="Calibri"/>
          <w:sz w:val="32"/>
          <w:szCs w:val="32"/>
        </w:rPr>
        <w:t xml:space="preserve">should normally </w:t>
      </w:r>
      <w:r w:rsidRPr="00567526">
        <w:rPr>
          <w:rFonts w:cs="Calibri"/>
          <w:sz w:val="32"/>
          <w:szCs w:val="32"/>
        </w:rPr>
        <w:t xml:space="preserve">provide them access to it. </w:t>
      </w:r>
    </w:p>
    <w:p w14:paraId="3A9BEC81" w14:textId="77777777" w:rsidR="005B2195" w:rsidRPr="00567526" w:rsidRDefault="005B2195" w:rsidP="00443638">
      <w:pPr>
        <w:rPr>
          <w:rFonts w:cs="Calibri"/>
          <w:b/>
          <w:sz w:val="32"/>
          <w:szCs w:val="32"/>
        </w:rPr>
      </w:pPr>
    </w:p>
    <w:p w14:paraId="0ACCDF8B" w14:textId="77777777" w:rsidR="00910D14" w:rsidRPr="00567526" w:rsidRDefault="00443638" w:rsidP="00443638">
      <w:pPr>
        <w:rPr>
          <w:rFonts w:cs="Calibri"/>
          <w:b/>
          <w:sz w:val="32"/>
          <w:szCs w:val="32"/>
          <w:u w:val="single"/>
        </w:rPr>
      </w:pPr>
      <w:r w:rsidRPr="00567526">
        <w:rPr>
          <w:rFonts w:cs="Calibri"/>
          <w:b/>
          <w:sz w:val="32"/>
          <w:szCs w:val="32"/>
          <w:u w:val="single"/>
        </w:rPr>
        <w:t xml:space="preserve">Several things have changed </w:t>
      </w:r>
      <w:r w:rsidR="00E142AC" w:rsidRPr="00567526">
        <w:rPr>
          <w:rFonts w:cs="Calibri"/>
          <w:b/>
          <w:sz w:val="32"/>
          <w:szCs w:val="32"/>
          <w:u w:val="single"/>
        </w:rPr>
        <w:t>regarding</w:t>
      </w:r>
      <w:r w:rsidRPr="00567526">
        <w:rPr>
          <w:rFonts w:cs="Calibri"/>
          <w:b/>
          <w:sz w:val="32"/>
          <w:szCs w:val="32"/>
          <w:u w:val="single"/>
        </w:rPr>
        <w:t xml:space="preserve"> SARs.</w:t>
      </w:r>
    </w:p>
    <w:p w14:paraId="70A88054" w14:textId="77777777" w:rsidR="00DC5D49" w:rsidRPr="00567526" w:rsidRDefault="00443638" w:rsidP="00443638">
      <w:pPr>
        <w:rPr>
          <w:rFonts w:cs="Calibri"/>
          <w:sz w:val="32"/>
          <w:szCs w:val="32"/>
        </w:rPr>
      </w:pPr>
      <w:r w:rsidRPr="00567526">
        <w:rPr>
          <w:rFonts w:cs="Calibri"/>
          <w:sz w:val="32"/>
          <w:szCs w:val="32"/>
        </w:rPr>
        <w:t xml:space="preserve"> </w:t>
      </w:r>
    </w:p>
    <w:p w14:paraId="0B50167F" w14:textId="77777777" w:rsidR="00DC5D49" w:rsidRPr="00567526" w:rsidRDefault="00443638" w:rsidP="00910D14">
      <w:pPr>
        <w:numPr>
          <w:ilvl w:val="0"/>
          <w:numId w:val="1"/>
        </w:numPr>
        <w:rPr>
          <w:rFonts w:cs="Calibri"/>
          <w:sz w:val="32"/>
          <w:szCs w:val="32"/>
        </w:rPr>
      </w:pPr>
      <w:r w:rsidRPr="00567526">
        <w:rPr>
          <w:rFonts w:cs="Calibri"/>
          <w:sz w:val="32"/>
          <w:szCs w:val="32"/>
        </w:rPr>
        <w:t xml:space="preserve">Firstly, you will not be able to </w:t>
      </w:r>
      <w:r w:rsidR="00FF0342">
        <w:rPr>
          <w:rFonts w:cs="Calibri"/>
          <w:sz w:val="32"/>
          <w:szCs w:val="32"/>
        </w:rPr>
        <w:t>routinely charge f</w:t>
      </w:r>
      <w:r w:rsidRPr="00567526">
        <w:rPr>
          <w:rFonts w:cs="Calibri"/>
          <w:sz w:val="32"/>
          <w:szCs w:val="32"/>
        </w:rPr>
        <w:t xml:space="preserve">or </w:t>
      </w:r>
      <w:r w:rsidR="00FF0342">
        <w:rPr>
          <w:rFonts w:cs="Calibri"/>
          <w:sz w:val="32"/>
          <w:szCs w:val="32"/>
        </w:rPr>
        <w:t xml:space="preserve">copies </w:t>
      </w:r>
      <w:r w:rsidRPr="00567526">
        <w:rPr>
          <w:rFonts w:cs="Calibri"/>
          <w:sz w:val="32"/>
          <w:szCs w:val="32"/>
        </w:rPr>
        <w:t xml:space="preserve">of the </w:t>
      </w:r>
      <w:r w:rsidR="00FF0342">
        <w:rPr>
          <w:rFonts w:cs="Calibri"/>
          <w:sz w:val="32"/>
          <w:szCs w:val="32"/>
        </w:rPr>
        <w:t xml:space="preserve">DS’s </w:t>
      </w:r>
      <w:r w:rsidRPr="00567526">
        <w:rPr>
          <w:rFonts w:cs="Calibri"/>
          <w:sz w:val="32"/>
          <w:szCs w:val="32"/>
        </w:rPr>
        <w:t>records.</w:t>
      </w:r>
      <w:r w:rsidR="00FF0342">
        <w:rPr>
          <w:rFonts w:cs="Calibri"/>
          <w:sz w:val="32"/>
          <w:szCs w:val="32"/>
        </w:rPr>
        <w:t xml:space="preserve"> You can charge, but not routinely, see later.</w:t>
      </w:r>
      <w:r w:rsidRPr="00567526">
        <w:rPr>
          <w:rFonts w:cs="Calibri"/>
          <w:sz w:val="32"/>
          <w:szCs w:val="32"/>
        </w:rPr>
        <w:t xml:space="preserve"> </w:t>
      </w:r>
    </w:p>
    <w:p w14:paraId="1A7BC2E8" w14:textId="77777777" w:rsidR="00910D14" w:rsidRPr="00567526" w:rsidRDefault="00910D14" w:rsidP="00910D14">
      <w:pPr>
        <w:rPr>
          <w:rFonts w:cs="Calibri"/>
          <w:sz w:val="32"/>
          <w:szCs w:val="32"/>
        </w:rPr>
      </w:pPr>
    </w:p>
    <w:p w14:paraId="18F0FDAC" w14:textId="77777777" w:rsidR="00DC5D49" w:rsidRPr="00567526" w:rsidRDefault="00443638" w:rsidP="00910D14">
      <w:pPr>
        <w:numPr>
          <w:ilvl w:val="0"/>
          <w:numId w:val="1"/>
        </w:numPr>
        <w:rPr>
          <w:rFonts w:cs="Calibri"/>
          <w:sz w:val="32"/>
          <w:szCs w:val="32"/>
        </w:rPr>
      </w:pPr>
      <w:r w:rsidRPr="00567526">
        <w:rPr>
          <w:rFonts w:cs="Calibri"/>
          <w:sz w:val="32"/>
          <w:szCs w:val="32"/>
        </w:rPr>
        <w:t>Secondly the data you must supply is more than just a copy of the data you hold</w:t>
      </w:r>
      <w:r w:rsidR="00FF0342">
        <w:rPr>
          <w:rFonts w:cs="Calibri"/>
          <w:sz w:val="32"/>
          <w:szCs w:val="32"/>
        </w:rPr>
        <w:t xml:space="preserve">, </w:t>
      </w:r>
      <w:r w:rsidRPr="00567526">
        <w:rPr>
          <w:rFonts w:cs="Calibri"/>
          <w:sz w:val="32"/>
          <w:szCs w:val="32"/>
        </w:rPr>
        <w:t>additional information</w:t>
      </w:r>
      <w:r w:rsidR="00E142AC" w:rsidRPr="00567526">
        <w:rPr>
          <w:rFonts w:cs="Calibri"/>
          <w:sz w:val="32"/>
          <w:szCs w:val="32"/>
        </w:rPr>
        <w:t xml:space="preserve"> (</w:t>
      </w:r>
      <w:r w:rsidRPr="00567526">
        <w:rPr>
          <w:rFonts w:cs="Calibri"/>
          <w:sz w:val="32"/>
          <w:szCs w:val="32"/>
        </w:rPr>
        <w:t>in effect the content of the relevant Privacy Notice</w:t>
      </w:r>
      <w:r w:rsidR="00E142AC" w:rsidRPr="00567526">
        <w:rPr>
          <w:rFonts w:cs="Calibri"/>
          <w:sz w:val="32"/>
          <w:szCs w:val="32"/>
        </w:rPr>
        <w:t>)</w:t>
      </w:r>
      <w:r w:rsidR="00FF0342">
        <w:rPr>
          <w:rFonts w:cs="Calibri"/>
          <w:sz w:val="32"/>
          <w:szCs w:val="32"/>
        </w:rPr>
        <w:t xml:space="preserve"> must be provided</w:t>
      </w:r>
      <w:r w:rsidRPr="00567526">
        <w:rPr>
          <w:rFonts w:cs="Calibri"/>
          <w:sz w:val="32"/>
          <w:szCs w:val="32"/>
        </w:rPr>
        <w:t xml:space="preserve">. </w:t>
      </w:r>
    </w:p>
    <w:p w14:paraId="70407C95" w14:textId="77777777" w:rsidR="00910D14" w:rsidRPr="00567526" w:rsidRDefault="00910D14" w:rsidP="00910D14">
      <w:pPr>
        <w:rPr>
          <w:rFonts w:cs="Calibri"/>
          <w:sz w:val="32"/>
          <w:szCs w:val="32"/>
        </w:rPr>
      </w:pPr>
    </w:p>
    <w:p w14:paraId="74F85CCF" w14:textId="77777777" w:rsidR="00910D14" w:rsidRPr="00567526" w:rsidRDefault="00DC5D49" w:rsidP="00910D14">
      <w:pPr>
        <w:numPr>
          <w:ilvl w:val="0"/>
          <w:numId w:val="1"/>
        </w:numPr>
        <w:rPr>
          <w:rFonts w:cs="Calibri"/>
          <w:sz w:val="32"/>
          <w:szCs w:val="32"/>
        </w:rPr>
      </w:pPr>
      <w:r w:rsidRPr="00567526">
        <w:rPr>
          <w:rFonts w:cs="Calibri"/>
          <w:sz w:val="32"/>
          <w:szCs w:val="32"/>
        </w:rPr>
        <w:t xml:space="preserve">Thirdly </w:t>
      </w:r>
      <w:r w:rsidR="00956D18" w:rsidRPr="00567526">
        <w:rPr>
          <w:rFonts w:cs="Calibri"/>
          <w:sz w:val="32"/>
          <w:szCs w:val="32"/>
        </w:rPr>
        <w:t xml:space="preserve">any </w:t>
      </w:r>
      <w:r w:rsidRPr="00567526">
        <w:rPr>
          <w:rFonts w:cs="Calibri"/>
          <w:sz w:val="32"/>
          <w:szCs w:val="32"/>
        </w:rPr>
        <w:t>response</w:t>
      </w:r>
      <w:r w:rsidR="00956D18" w:rsidRPr="00567526">
        <w:rPr>
          <w:rFonts w:cs="Calibri"/>
          <w:sz w:val="32"/>
          <w:szCs w:val="32"/>
        </w:rPr>
        <w:t xml:space="preserve"> to a SARs</w:t>
      </w:r>
      <w:r w:rsidR="004D4693" w:rsidRPr="00567526">
        <w:rPr>
          <w:rFonts w:cs="Calibri"/>
          <w:sz w:val="32"/>
          <w:szCs w:val="32"/>
        </w:rPr>
        <w:t>, see 4 below,</w:t>
      </w:r>
      <w:r w:rsidRPr="00567526">
        <w:rPr>
          <w:rFonts w:cs="Calibri"/>
          <w:sz w:val="32"/>
          <w:szCs w:val="32"/>
        </w:rPr>
        <w:t xml:space="preserve"> must now be within “one month” (no</w:t>
      </w:r>
      <w:r w:rsidR="00956D18" w:rsidRPr="00567526">
        <w:rPr>
          <w:rFonts w:cs="Calibri"/>
          <w:sz w:val="32"/>
          <w:szCs w:val="32"/>
        </w:rPr>
        <w:t xml:space="preserve"> longer </w:t>
      </w:r>
      <w:r w:rsidRPr="00567526">
        <w:rPr>
          <w:rFonts w:cs="Calibri"/>
          <w:sz w:val="32"/>
          <w:szCs w:val="32"/>
        </w:rPr>
        <w:t xml:space="preserve">41 days and </w:t>
      </w:r>
      <w:r w:rsidR="00ED4A7B">
        <w:rPr>
          <w:rFonts w:cs="Calibri"/>
          <w:sz w:val="32"/>
          <w:szCs w:val="32"/>
        </w:rPr>
        <w:t>the definition of the “one month” varies</w:t>
      </w:r>
      <w:hyperlink w:anchor="four" w:history="1">
        <w:r w:rsidR="00ED4A7B" w:rsidRPr="00ED4A7B">
          <w:rPr>
            <w:rStyle w:val="Hyperlink"/>
            <w:rFonts w:cs="Calibri"/>
            <w:sz w:val="32"/>
            <w:szCs w:val="32"/>
            <w:vertAlign w:val="superscript"/>
          </w:rPr>
          <w:t>4</w:t>
        </w:r>
      </w:hyperlink>
      <w:r w:rsidR="0069315F">
        <w:rPr>
          <w:rFonts w:cs="Calibri"/>
          <w:sz w:val="32"/>
          <w:szCs w:val="32"/>
        </w:rPr>
        <w:t xml:space="preserve">, I’d advise assuming </w:t>
      </w:r>
      <w:r w:rsidR="00ED4A7B">
        <w:rPr>
          <w:rFonts w:cs="Calibri"/>
          <w:sz w:val="32"/>
          <w:szCs w:val="32"/>
        </w:rPr>
        <w:t xml:space="preserve">a blanket </w:t>
      </w:r>
      <w:r w:rsidR="0069315F">
        <w:rPr>
          <w:rFonts w:cs="Calibri"/>
          <w:sz w:val="32"/>
          <w:szCs w:val="32"/>
        </w:rPr>
        <w:t xml:space="preserve">28 days </w:t>
      </w:r>
      <w:r w:rsidR="00ED4A7B">
        <w:rPr>
          <w:rFonts w:cs="Calibri"/>
          <w:sz w:val="32"/>
          <w:szCs w:val="32"/>
        </w:rPr>
        <w:t>response deadline</w:t>
      </w:r>
      <w:r w:rsidRPr="00567526">
        <w:rPr>
          <w:rFonts w:cs="Calibri"/>
          <w:sz w:val="32"/>
          <w:szCs w:val="32"/>
        </w:rPr>
        <w:t xml:space="preserve">). </w:t>
      </w:r>
    </w:p>
    <w:p w14:paraId="770D54A0" w14:textId="77777777" w:rsidR="00910D14" w:rsidRPr="00567526" w:rsidRDefault="00910D14" w:rsidP="00910D14">
      <w:pPr>
        <w:rPr>
          <w:rFonts w:cs="Calibri"/>
          <w:sz w:val="32"/>
          <w:szCs w:val="32"/>
        </w:rPr>
      </w:pPr>
    </w:p>
    <w:p w14:paraId="55747FD3" w14:textId="77777777" w:rsidR="001015D5" w:rsidRDefault="00DC5D49" w:rsidP="00910D14">
      <w:pPr>
        <w:numPr>
          <w:ilvl w:val="0"/>
          <w:numId w:val="1"/>
        </w:numPr>
        <w:rPr>
          <w:rFonts w:cs="Calibri"/>
          <w:sz w:val="32"/>
          <w:szCs w:val="32"/>
        </w:rPr>
      </w:pPr>
      <w:r w:rsidRPr="00567526">
        <w:rPr>
          <w:rFonts w:cs="Calibri"/>
          <w:sz w:val="32"/>
          <w:szCs w:val="32"/>
        </w:rPr>
        <w:t xml:space="preserve">Fourthly, there are new potential responses </w:t>
      </w:r>
      <w:r w:rsidR="00910D14" w:rsidRPr="00567526">
        <w:rPr>
          <w:rFonts w:cs="Calibri"/>
          <w:sz w:val="32"/>
          <w:szCs w:val="32"/>
        </w:rPr>
        <w:t xml:space="preserve">to a SAR which </w:t>
      </w:r>
      <w:r w:rsidRPr="00567526">
        <w:rPr>
          <w:rFonts w:cs="Calibri"/>
          <w:sz w:val="32"/>
          <w:szCs w:val="32"/>
        </w:rPr>
        <w:t xml:space="preserve">include; </w:t>
      </w:r>
      <w:r w:rsidR="001015D5">
        <w:rPr>
          <w:rFonts w:cs="Calibri"/>
          <w:sz w:val="32"/>
          <w:szCs w:val="32"/>
        </w:rPr>
        <w:t xml:space="preserve">1) </w:t>
      </w:r>
      <w:r w:rsidRPr="00567526">
        <w:rPr>
          <w:rFonts w:cs="Calibri"/>
          <w:sz w:val="32"/>
          <w:szCs w:val="32"/>
        </w:rPr>
        <w:t xml:space="preserve">you </w:t>
      </w:r>
      <w:r w:rsidR="00E142AC" w:rsidRPr="00567526">
        <w:rPr>
          <w:rFonts w:cs="Calibri"/>
          <w:sz w:val="32"/>
          <w:szCs w:val="32"/>
        </w:rPr>
        <w:t>can agree</w:t>
      </w:r>
      <w:r w:rsidRPr="00567526">
        <w:rPr>
          <w:rFonts w:cs="Calibri"/>
          <w:sz w:val="32"/>
          <w:szCs w:val="32"/>
        </w:rPr>
        <w:t xml:space="preserve"> </w:t>
      </w:r>
      <w:r w:rsidR="00E142AC" w:rsidRPr="00567526">
        <w:rPr>
          <w:rFonts w:cs="Calibri"/>
          <w:sz w:val="32"/>
          <w:szCs w:val="32"/>
        </w:rPr>
        <w:t>(the norm</w:t>
      </w:r>
      <w:r w:rsidRPr="00567526">
        <w:rPr>
          <w:rFonts w:cs="Calibri"/>
          <w:sz w:val="32"/>
          <w:szCs w:val="32"/>
        </w:rPr>
        <w:t xml:space="preserve"> and not new</w:t>
      </w:r>
      <w:r w:rsidR="00E142AC" w:rsidRPr="00567526">
        <w:rPr>
          <w:rFonts w:cs="Calibri"/>
          <w:sz w:val="32"/>
          <w:szCs w:val="32"/>
        </w:rPr>
        <w:t xml:space="preserve">) or </w:t>
      </w:r>
      <w:r w:rsidR="001015D5">
        <w:rPr>
          <w:rFonts w:cs="Calibri"/>
          <w:sz w:val="32"/>
          <w:szCs w:val="32"/>
        </w:rPr>
        <w:t xml:space="preserve">2) </w:t>
      </w:r>
      <w:r w:rsidR="00E142AC" w:rsidRPr="00567526">
        <w:rPr>
          <w:rFonts w:cs="Calibri"/>
          <w:sz w:val="32"/>
          <w:szCs w:val="32"/>
        </w:rPr>
        <w:t>decline</w:t>
      </w:r>
      <w:r w:rsidRPr="00567526">
        <w:rPr>
          <w:rFonts w:cs="Calibri"/>
          <w:sz w:val="32"/>
          <w:szCs w:val="32"/>
        </w:rPr>
        <w:t xml:space="preserve"> (not new, </w:t>
      </w:r>
      <w:r w:rsidR="0069315F">
        <w:rPr>
          <w:rFonts w:cs="Calibri"/>
          <w:sz w:val="32"/>
          <w:szCs w:val="32"/>
        </w:rPr>
        <w:t xml:space="preserve">not advised and </w:t>
      </w:r>
      <w:r w:rsidRPr="00567526">
        <w:rPr>
          <w:rFonts w:cs="Calibri"/>
          <w:sz w:val="32"/>
          <w:szCs w:val="32"/>
        </w:rPr>
        <w:t>you’ll need to justify</w:t>
      </w:r>
      <w:r w:rsidR="00910D14" w:rsidRPr="00567526">
        <w:rPr>
          <w:rFonts w:cs="Calibri"/>
          <w:sz w:val="32"/>
          <w:szCs w:val="32"/>
        </w:rPr>
        <w:t xml:space="preserve"> refusing</w:t>
      </w:r>
      <w:r w:rsidRPr="00567526">
        <w:rPr>
          <w:rFonts w:cs="Calibri"/>
          <w:sz w:val="32"/>
          <w:szCs w:val="32"/>
        </w:rPr>
        <w:t xml:space="preserve">) or </w:t>
      </w:r>
      <w:r w:rsidR="001015D5">
        <w:rPr>
          <w:rFonts w:cs="Calibri"/>
          <w:sz w:val="32"/>
          <w:szCs w:val="32"/>
        </w:rPr>
        <w:t xml:space="preserve">3) </w:t>
      </w:r>
      <w:r w:rsidRPr="00567526">
        <w:rPr>
          <w:rFonts w:cs="Calibri"/>
          <w:sz w:val="32"/>
          <w:szCs w:val="32"/>
        </w:rPr>
        <w:t xml:space="preserve">you can </w:t>
      </w:r>
      <w:r w:rsidR="00910D14" w:rsidRPr="00567526">
        <w:rPr>
          <w:rFonts w:cs="Calibri"/>
          <w:sz w:val="32"/>
          <w:szCs w:val="32"/>
        </w:rPr>
        <w:t xml:space="preserve">agree to respond </w:t>
      </w:r>
      <w:r w:rsidRPr="00567526">
        <w:rPr>
          <w:rFonts w:cs="Calibri"/>
          <w:sz w:val="32"/>
          <w:szCs w:val="32"/>
        </w:rPr>
        <w:t xml:space="preserve">but </w:t>
      </w:r>
      <w:r w:rsidR="00910D14" w:rsidRPr="00567526">
        <w:rPr>
          <w:rFonts w:cs="Calibri"/>
          <w:sz w:val="32"/>
          <w:szCs w:val="32"/>
        </w:rPr>
        <w:t xml:space="preserve">require </w:t>
      </w:r>
      <w:r w:rsidRPr="00567526">
        <w:rPr>
          <w:rFonts w:cs="Calibri"/>
          <w:sz w:val="32"/>
          <w:szCs w:val="32"/>
        </w:rPr>
        <w:t>more time (up to a max of two of those months</w:t>
      </w:r>
      <w:r w:rsidR="00910D14" w:rsidRPr="00567526">
        <w:rPr>
          <w:rFonts w:cs="Calibri"/>
          <w:sz w:val="32"/>
          <w:szCs w:val="32"/>
        </w:rPr>
        <w:t>, and you’ll have to explain why</w:t>
      </w:r>
      <w:r w:rsidRPr="00567526">
        <w:rPr>
          <w:rFonts w:cs="Calibri"/>
          <w:sz w:val="32"/>
          <w:szCs w:val="32"/>
        </w:rPr>
        <w:t xml:space="preserve">) or </w:t>
      </w:r>
      <w:r w:rsidR="001015D5">
        <w:rPr>
          <w:rFonts w:cs="Calibri"/>
          <w:sz w:val="32"/>
          <w:szCs w:val="32"/>
        </w:rPr>
        <w:t xml:space="preserve">4) </w:t>
      </w:r>
      <w:r w:rsidRPr="00567526">
        <w:rPr>
          <w:rFonts w:cs="Calibri"/>
          <w:sz w:val="32"/>
          <w:szCs w:val="32"/>
        </w:rPr>
        <w:t>you can negotiate (this is new!)</w:t>
      </w:r>
      <w:r w:rsidR="001015D5">
        <w:rPr>
          <w:rFonts w:cs="Calibri"/>
          <w:sz w:val="32"/>
          <w:szCs w:val="32"/>
        </w:rPr>
        <w:t>.</w:t>
      </w:r>
    </w:p>
    <w:p w14:paraId="7158ABAC" w14:textId="77777777" w:rsidR="001015D5" w:rsidRDefault="001015D5" w:rsidP="001015D5">
      <w:pPr>
        <w:pStyle w:val="ListParagraph"/>
        <w:rPr>
          <w:rFonts w:cs="Calibri"/>
          <w:sz w:val="32"/>
          <w:szCs w:val="32"/>
        </w:rPr>
      </w:pPr>
    </w:p>
    <w:p w14:paraId="71BEE682" w14:textId="77777777" w:rsidR="00FF0342" w:rsidRDefault="00FF0342" w:rsidP="00FF0342">
      <w:pPr>
        <w:pStyle w:val="ListParagraph"/>
        <w:rPr>
          <w:rFonts w:cs="Calibri"/>
          <w:sz w:val="32"/>
          <w:szCs w:val="32"/>
        </w:rPr>
      </w:pPr>
    </w:p>
    <w:p w14:paraId="439E0156" w14:textId="77777777" w:rsidR="003F12E1" w:rsidRPr="00567526" w:rsidRDefault="003F12E1" w:rsidP="00443638">
      <w:pPr>
        <w:rPr>
          <w:rFonts w:cs="Calibri"/>
          <w:b/>
          <w:sz w:val="32"/>
          <w:szCs w:val="32"/>
          <w:u w:val="single"/>
        </w:rPr>
      </w:pPr>
      <w:bookmarkStart w:id="1" w:name="additional"/>
      <w:r w:rsidRPr="00567526">
        <w:rPr>
          <w:rFonts w:cs="Calibri"/>
          <w:b/>
          <w:sz w:val="32"/>
          <w:szCs w:val="32"/>
          <w:u w:val="single"/>
        </w:rPr>
        <w:t xml:space="preserve">So what’s the additional data </w:t>
      </w:r>
      <w:bookmarkEnd w:id="1"/>
      <w:r w:rsidRPr="00567526">
        <w:rPr>
          <w:rFonts w:cs="Calibri"/>
          <w:b/>
          <w:sz w:val="32"/>
          <w:szCs w:val="32"/>
          <w:u w:val="single"/>
        </w:rPr>
        <w:t xml:space="preserve">we </w:t>
      </w:r>
      <w:r w:rsidR="00B72577" w:rsidRPr="00567526">
        <w:rPr>
          <w:rFonts w:cs="Calibri"/>
          <w:b/>
          <w:sz w:val="32"/>
          <w:szCs w:val="32"/>
          <w:u w:val="single"/>
        </w:rPr>
        <w:t>must</w:t>
      </w:r>
      <w:r w:rsidRPr="00567526">
        <w:rPr>
          <w:rFonts w:cs="Calibri"/>
          <w:b/>
          <w:sz w:val="32"/>
          <w:szCs w:val="32"/>
          <w:u w:val="single"/>
        </w:rPr>
        <w:t xml:space="preserve"> supply?</w:t>
      </w:r>
    </w:p>
    <w:p w14:paraId="1FA620AD" w14:textId="77777777" w:rsidR="003F12E1" w:rsidRPr="00567526" w:rsidRDefault="003F12E1" w:rsidP="00443638">
      <w:pPr>
        <w:rPr>
          <w:rFonts w:cs="Calibri"/>
          <w:sz w:val="32"/>
          <w:szCs w:val="32"/>
        </w:rPr>
      </w:pPr>
    </w:p>
    <w:p w14:paraId="43405DEC" w14:textId="77777777" w:rsidR="003F12E1" w:rsidRPr="00567526" w:rsidRDefault="00443638" w:rsidP="00443638">
      <w:pPr>
        <w:rPr>
          <w:rFonts w:cs="Calibri"/>
          <w:sz w:val="32"/>
          <w:szCs w:val="32"/>
        </w:rPr>
      </w:pPr>
      <w:r w:rsidRPr="00567526">
        <w:rPr>
          <w:rFonts w:cs="Calibri"/>
          <w:sz w:val="32"/>
          <w:szCs w:val="32"/>
        </w:rPr>
        <w:t xml:space="preserve">The additional information that you must supply, along with the </w:t>
      </w:r>
      <w:r w:rsidR="00AA60FC">
        <w:rPr>
          <w:rFonts w:cs="Calibri"/>
          <w:sz w:val="32"/>
          <w:szCs w:val="32"/>
        </w:rPr>
        <w:t xml:space="preserve">copy of the </w:t>
      </w:r>
      <w:r w:rsidRPr="00567526">
        <w:rPr>
          <w:rFonts w:cs="Calibri"/>
          <w:sz w:val="32"/>
          <w:szCs w:val="32"/>
        </w:rPr>
        <w:t>original personal data concerning the DS, is listed in Article</w:t>
      </w:r>
      <w:r w:rsidR="00D92159">
        <w:rPr>
          <w:rFonts w:cs="Calibri"/>
          <w:sz w:val="32"/>
          <w:szCs w:val="32"/>
        </w:rPr>
        <w:t>s 13 and 14</w:t>
      </w:r>
      <w:r w:rsidRPr="00567526">
        <w:rPr>
          <w:rFonts w:cs="Calibri"/>
          <w:sz w:val="32"/>
          <w:szCs w:val="32"/>
        </w:rPr>
        <w:t xml:space="preserve"> and is; </w:t>
      </w:r>
    </w:p>
    <w:p w14:paraId="175FEEBE" w14:textId="77777777" w:rsidR="003F12E1" w:rsidRPr="00567526" w:rsidRDefault="003F12E1" w:rsidP="00443638">
      <w:pPr>
        <w:rPr>
          <w:rFonts w:cs="Calibri"/>
          <w:sz w:val="32"/>
          <w:szCs w:val="32"/>
        </w:rPr>
      </w:pPr>
    </w:p>
    <w:p w14:paraId="5656B7DA" w14:textId="77777777" w:rsidR="00910D14" w:rsidRPr="00567526" w:rsidRDefault="00910D14" w:rsidP="004D4693">
      <w:pPr>
        <w:numPr>
          <w:ilvl w:val="0"/>
          <w:numId w:val="2"/>
        </w:numPr>
        <w:rPr>
          <w:rFonts w:cs="Calibri"/>
          <w:sz w:val="32"/>
          <w:szCs w:val="32"/>
        </w:rPr>
      </w:pPr>
      <w:r w:rsidRPr="00567526">
        <w:rPr>
          <w:rFonts w:cs="Calibri"/>
          <w:sz w:val="32"/>
          <w:szCs w:val="32"/>
        </w:rPr>
        <w:t>The purpose(s) of the processing</w:t>
      </w:r>
    </w:p>
    <w:p w14:paraId="57D81550" w14:textId="77777777" w:rsidR="00910D14" w:rsidRPr="00567526" w:rsidRDefault="00910D14" w:rsidP="004D4693">
      <w:pPr>
        <w:numPr>
          <w:ilvl w:val="0"/>
          <w:numId w:val="2"/>
        </w:numPr>
        <w:rPr>
          <w:rFonts w:cs="Calibri"/>
          <w:sz w:val="32"/>
          <w:szCs w:val="32"/>
        </w:rPr>
      </w:pPr>
      <w:r w:rsidRPr="00567526">
        <w:rPr>
          <w:rFonts w:cs="Calibri"/>
          <w:sz w:val="32"/>
          <w:szCs w:val="32"/>
        </w:rPr>
        <w:t>The categories of personal data being processed</w:t>
      </w:r>
    </w:p>
    <w:p w14:paraId="17B68637" w14:textId="77777777" w:rsidR="00910D14" w:rsidRPr="00567526" w:rsidRDefault="00910D14" w:rsidP="004D4693">
      <w:pPr>
        <w:numPr>
          <w:ilvl w:val="0"/>
          <w:numId w:val="2"/>
        </w:numPr>
        <w:rPr>
          <w:rFonts w:cs="Calibri"/>
          <w:sz w:val="32"/>
          <w:szCs w:val="32"/>
        </w:rPr>
      </w:pPr>
      <w:r w:rsidRPr="00567526">
        <w:rPr>
          <w:rFonts w:cs="Calibri"/>
          <w:sz w:val="32"/>
          <w:szCs w:val="32"/>
        </w:rPr>
        <w:t xml:space="preserve">The recipients or </w:t>
      </w:r>
      <w:r w:rsidR="00A664BF" w:rsidRPr="00567526">
        <w:rPr>
          <w:rFonts w:cs="Calibri"/>
          <w:sz w:val="32"/>
          <w:szCs w:val="32"/>
        </w:rPr>
        <w:t>categories</w:t>
      </w:r>
      <w:r w:rsidRPr="00567526">
        <w:rPr>
          <w:rFonts w:cs="Calibri"/>
          <w:sz w:val="32"/>
          <w:szCs w:val="32"/>
        </w:rPr>
        <w:t xml:space="preserve"> of recipients</w:t>
      </w:r>
    </w:p>
    <w:p w14:paraId="5047B1E3" w14:textId="77777777" w:rsidR="00910D14" w:rsidRPr="00567526" w:rsidRDefault="00910D14" w:rsidP="004D4693">
      <w:pPr>
        <w:numPr>
          <w:ilvl w:val="0"/>
          <w:numId w:val="2"/>
        </w:numPr>
        <w:rPr>
          <w:rFonts w:cs="Calibri"/>
          <w:sz w:val="32"/>
          <w:szCs w:val="32"/>
        </w:rPr>
      </w:pPr>
      <w:r w:rsidRPr="00567526">
        <w:rPr>
          <w:rFonts w:cs="Calibri"/>
          <w:sz w:val="32"/>
          <w:szCs w:val="32"/>
        </w:rPr>
        <w:t>The envisages retention period or the criteria that determine it</w:t>
      </w:r>
    </w:p>
    <w:p w14:paraId="69803D5C" w14:textId="77777777" w:rsidR="00910D14" w:rsidRPr="00567526" w:rsidRDefault="00910D14" w:rsidP="004D4693">
      <w:pPr>
        <w:numPr>
          <w:ilvl w:val="0"/>
          <w:numId w:val="2"/>
        </w:numPr>
        <w:rPr>
          <w:rFonts w:cs="Calibri"/>
          <w:sz w:val="32"/>
          <w:szCs w:val="32"/>
        </w:rPr>
      </w:pPr>
      <w:r w:rsidRPr="00567526">
        <w:rPr>
          <w:rFonts w:cs="Calibri"/>
          <w:sz w:val="32"/>
          <w:szCs w:val="32"/>
        </w:rPr>
        <w:t>The rights of rectification, restriction</w:t>
      </w:r>
      <w:r w:rsidR="004D4693" w:rsidRPr="00567526">
        <w:rPr>
          <w:rFonts w:cs="Calibri"/>
          <w:sz w:val="32"/>
          <w:szCs w:val="32"/>
        </w:rPr>
        <w:t>, objection and where applicable erasure.</w:t>
      </w:r>
    </w:p>
    <w:p w14:paraId="77BEE1D6" w14:textId="77777777" w:rsidR="004D4693" w:rsidRPr="00567526" w:rsidRDefault="004D4693" w:rsidP="004D4693">
      <w:pPr>
        <w:numPr>
          <w:ilvl w:val="0"/>
          <w:numId w:val="2"/>
        </w:numPr>
        <w:rPr>
          <w:rFonts w:cs="Calibri"/>
          <w:sz w:val="32"/>
          <w:szCs w:val="32"/>
        </w:rPr>
      </w:pPr>
      <w:r w:rsidRPr="00567526">
        <w:rPr>
          <w:rFonts w:cs="Calibri"/>
          <w:sz w:val="32"/>
          <w:szCs w:val="32"/>
        </w:rPr>
        <w:t>The right to complain to the ICO</w:t>
      </w:r>
    </w:p>
    <w:p w14:paraId="70EAD2C3" w14:textId="77777777" w:rsidR="004D4693" w:rsidRPr="00567526" w:rsidRDefault="004D4693" w:rsidP="004D4693">
      <w:pPr>
        <w:numPr>
          <w:ilvl w:val="0"/>
          <w:numId w:val="2"/>
        </w:numPr>
        <w:rPr>
          <w:rFonts w:cs="Calibri"/>
          <w:sz w:val="32"/>
          <w:szCs w:val="32"/>
        </w:rPr>
      </w:pPr>
      <w:r w:rsidRPr="00567526">
        <w:rPr>
          <w:rFonts w:cs="Calibri"/>
          <w:sz w:val="32"/>
          <w:szCs w:val="32"/>
        </w:rPr>
        <w:t>The right to know more about the source if not the DS</w:t>
      </w:r>
    </w:p>
    <w:p w14:paraId="7BA48523" w14:textId="77777777" w:rsidR="004D4693" w:rsidRDefault="004D4693" w:rsidP="004D4693">
      <w:pPr>
        <w:numPr>
          <w:ilvl w:val="0"/>
          <w:numId w:val="2"/>
        </w:numPr>
        <w:rPr>
          <w:rFonts w:cs="Calibri"/>
          <w:sz w:val="32"/>
          <w:szCs w:val="32"/>
        </w:rPr>
      </w:pPr>
      <w:r w:rsidRPr="00567526">
        <w:rPr>
          <w:rFonts w:cs="Calibri"/>
          <w:sz w:val="32"/>
          <w:szCs w:val="32"/>
        </w:rPr>
        <w:t xml:space="preserve">The </w:t>
      </w:r>
      <w:r w:rsidR="00451F27" w:rsidRPr="00567526">
        <w:rPr>
          <w:rFonts w:cs="Calibri"/>
          <w:sz w:val="32"/>
          <w:szCs w:val="32"/>
        </w:rPr>
        <w:t>existence</w:t>
      </w:r>
      <w:r w:rsidRPr="00567526">
        <w:rPr>
          <w:rFonts w:cs="Calibri"/>
          <w:sz w:val="32"/>
          <w:szCs w:val="32"/>
        </w:rPr>
        <w:t xml:space="preserve"> of and logic behind and consequences of any automated processing</w:t>
      </w:r>
    </w:p>
    <w:p w14:paraId="71948B1E" w14:textId="77777777" w:rsidR="00D92159" w:rsidRDefault="00D92159" w:rsidP="00D92159">
      <w:pPr>
        <w:rPr>
          <w:rFonts w:cs="Calibri"/>
          <w:sz w:val="32"/>
          <w:szCs w:val="32"/>
        </w:rPr>
      </w:pPr>
    </w:p>
    <w:p w14:paraId="6AAA0464" w14:textId="77777777" w:rsidR="00D92159" w:rsidRPr="00567526" w:rsidRDefault="00D92159" w:rsidP="00D92159">
      <w:pPr>
        <w:rPr>
          <w:rFonts w:cs="Calibri"/>
          <w:sz w:val="32"/>
          <w:szCs w:val="32"/>
        </w:rPr>
      </w:pPr>
      <w:r>
        <w:rPr>
          <w:rFonts w:cs="Calibri"/>
          <w:sz w:val="32"/>
          <w:szCs w:val="32"/>
        </w:rPr>
        <w:t xml:space="preserve">Remember this, or an easily accessible link to it, has to be provided as well as the actual data relating to the DS. </w:t>
      </w:r>
      <w:r w:rsidR="0087300F">
        <w:rPr>
          <w:rFonts w:cs="Calibri"/>
          <w:sz w:val="32"/>
          <w:szCs w:val="32"/>
        </w:rPr>
        <w:t>I’m going to call these Additional Processing Information notices.</w:t>
      </w:r>
      <w:r w:rsidR="001015D5">
        <w:rPr>
          <w:rFonts w:cs="Calibri"/>
          <w:sz w:val="32"/>
          <w:szCs w:val="32"/>
        </w:rPr>
        <w:t xml:space="preserve"> Think of them as a cover page or frontispiece for all SARs.</w:t>
      </w:r>
    </w:p>
    <w:p w14:paraId="17777255" w14:textId="77777777" w:rsidR="00956D18" w:rsidRPr="00567526" w:rsidRDefault="00956D18" w:rsidP="00443638">
      <w:pPr>
        <w:rPr>
          <w:rFonts w:cs="Calibri"/>
          <w:sz w:val="32"/>
          <w:szCs w:val="32"/>
        </w:rPr>
      </w:pPr>
    </w:p>
    <w:p w14:paraId="5C69DFF9" w14:textId="77777777" w:rsidR="00956D18" w:rsidRPr="00567526" w:rsidRDefault="001015D5" w:rsidP="001015D5">
      <w:pPr>
        <w:rPr>
          <w:rFonts w:cs="Calibri"/>
          <w:b/>
          <w:sz w:val="32"/>
          <w:szCs w:val="32"/>
          <w:u w:val="single"/>
        </w:rPr>
      </w:pPr>
      <w:r w:rsidRPr="001015D5">
        <w:rPr>
          <w:rFonts w:cs="Calibri"/>
          <w:b/>
          <w:sz w:val="32"/>
          <w:szCs w:val="32"/>
          <w:u w:val="single"/>
        </w:rPr>
        <w:t>1)</w:t>
      </w:r>
      <w:r>
        <w:rPr>
          <w:rFonts w:cs="Calibri"/>
          <w:b/>
          <w:sz w:val="32"/>
          <w:szCs w:val="32"/>
          <w:u w:val="single"/>
        </w:rPr>
        <w:t xml:space="preserve"> </w:t>
      </w:r>
      <w:r w:rsidR="00956D18" w:rsidRPr="00567526">
        <w:rPr>
          <w:rFonts w:cs="Calibri"/>
          <w:b/>
          <w:sz w:val="32"/>
          <w:szCs w:val="32"/>
          <w:u w:val="single"/>
        </w:rPr>
        <w:t>You can agree (to the full SAR).</w:t>
      </w:r>
    </w:p>
    <w:p w14:paraId="64C23D07" w14:textId="77777777" w:rsidR="00956D18" w:rsidRPr="00567526" w:rsidRDefault="00956D18" w:rsidP="00443638">
      <w:pPr>
        <w:rPr>
          <w:rFonts w:cs="Calibri"/>
          <w:sz w:val="32"/>
          <w:szCs w:val="32"/>
        </w:rPr>
      </w:pPr>
    </w:p>
    <w:p w14:paraId="0AAC3320" w14:textId="77777777" w:rsidR="00956D18" w:rsidRPr="00567526" w:rsidRDefault="00956D18" w:rsidP="00443638">
      <w:pPr>
        <w:rPr>
          <w:rFonts w:cs="Calibri"/>
          <w:sz w:val="32"/>
          <w:szCs w:val="32"/>
        </w:rPr>
      </w:pPr>
      <w:r w:rsidRPr="00567526">
        <w:rPr>
          <w:rFonts w:cs="Calibri"/>
          <w:sz w:val="32"/>
          <w:szCs w:val="32"/>
        </w:rPr>
        <w:t xml:space="preserve">If you agree to the SAR must respond within one month and include all the data you hold on the DS plus whichever of the information listed above that applies. Providing </w:t>
      </w:r>
      <w:r w:rsidR="00AA60FC">
        <w:rPr>
          <w:rFonts w:cs="Calibri"/>
          <w:sz w:val="32"/>
          <w:szCs w:val="32"/>
        </w:rPr>
        <w:t xml:space="preserve">copies of </w:t>
      </w:r>
      <w:r w:rsidRPr="00567526">
        <w:rPr>
          <w:rFonts w:cs="Calibri"/>
          <w:sz w:val="32"/>
          <w:szCs w:val="32"/>
        </w:rPr>
        <w:t>all the data you hold is the norm.</w:t>
      </w:r>
    </w:p>
    <w:p w14:paraId="0B321697" w14:textId="77777777" w:rsidR="00956D18" w:rsidRPr="00567526" w:rsidRDefault="00956D18" w:rsidP="00443638">
      <w:pPr>
        <w:rPr>
          <w:rFonts w:cs="Calibri"/>
          <w:sz w:val="32"/>
          <w:szCs w:val="32"/>
        </w:rPr>
      </w:pPr>
    </w:p>
    <w:p w14:paraId="1B9948AB" w14:textId="77777777" w:rsidR="00956D18" w:rsidRPr="00567526" w:rsidRDefault="001015D5" w:rsidP="00443638">
      <w:pPr>
        <w:rPr>
          <w:rFonts w:cs="Calibri"/>
          <w:b/>
          <w:sz w:val="32"/>
          <w:szCs w:val="32"/>
          <w:u w:val="single"/>
        </w:rPr>
      </w:pPr>
      <w:r>
        <w:rPr>
          <w:rFonts w:cs="Calibri"/>
          <w:b/>
          <w:sz w:val="32"/>
          <w:szCs w:val="32"/>
          <w:u w:val="single"/>
        </w:rPr>
        <w:t xml:space="preserve">2) </w:t>
      </w:r>
      <w:r w:rsidR="00956D18" w:rsidRPr="00567526">
        <w:rPr>
          <w:rFonts w:cs="Calibri"/>
          <w:b/>
          <w:sz w:val="32"/>
          <w:szCs w:val="32"/>
          <w:u w:val="single"/>
        </w:rPr>
        <w:t>You can decline</w:t>
      </w:r>
    </w:p>
    <w:p w14:paraId="6285893B" w14:textId="77777777" w:rsidR="00956D18" w:rsidRPr="00567526" w:rsidRDefault="00956D18" w:rsidP="00443638">
      <w:pPr>
        <w:rPr>
          <w:rFonts w:cs="Calibri"/>
          <w:sz w:val="32"/>
          <w:szCs w:val="32"/>
        </w:rPr>
      </w:pPr>
    </w:p>
    <w:p w14:paraId="37EE96B8" w14:textId="77777777" w:rsidR="00956D18" w:rsidRPr="00567526" w:rsidRDefault="00956D18" w:rsidP="00443638">
      <w:pPr>
        <w:rPr>
          <w:rFonts w:cs="Calibri"/>
          <w:sz w:val="32"/>
          <w:szCs w:val="32"/>
        </w:rPr>
      </w:pPr>
      <w:r w:rsidRPr="00567526">
        <w:rPr>
          <w:rFonts w:cs="Calibri"/>
          <w:sz w:val="32"/>
          <w:szCs w:val="32"/>
        </w:rPr>
        <w:t xml:space="preserve">You can </w:t>
      </w:r>
      <w:r w:rsidR="0069315F">
        <w:rPr>
          <w:rFonts w:cs="Calibri"/>
          <w:sz w:val="32"/>
          <w:szCs w:val="32"/>
        </w:rPr>
        <w:t xml:space="preserve">decline, or as GDPR puts it; </w:t>
      </w:r>
      <w:r w:rsidR="00BC2FF1" w:rsidRPr="00567526">
        <w:rPr>
          <w:rFonts w:cs="Calibri"/>
          <w:sz w:val="32"/>
          <w:szCs w:val="32"/>
        </w:rPr>
        <w:t xml:space="preserve">“not take action” </w:t>
      </w:r>
      <w:r w:rsidRPr="00567526">
        <w:rPr>
          <w:rFonts w:cs="Calibri"/>
          <w:sz w:val="32"/>
          <w:szCs w:val="32"/>
        </w:rPr>
        <w:t>to provide a SAR</w:t>
      </w:r>
      <w:r w:rsidR="0069315F">
        <w:rPr>
          <w:rFonts w:cs="Calibri"/>
          <w:sz w:val="32"/>
          <w:szCs w:val="32"/>
        </w:rPr>
        <w:t xml:space="preserve">. </w:t>
      </w:r>
      <w:r w:rsidR="00FF0342">
        <w:rPr>
          <w:rFonts w:cs="Calibri"/>
          <w:sz w:val="32"/>
          <w:szCs w:val="32"/>
        </w:rPr>
        <w:t xml:space="preserve">This is not at all </w:t>
      </w:r>
      <w:r w:rsidR="0069315F">
        <w:rPr>
          <w:rFonts w:cs="Calibri"/>
          <w:sz w:val="32"/>
          <w:szCs w:val="32"/>
        </w:rPr>
        <w:t xml:space="preserve">advised and </w:t>
      </w:r>
      <w:r w:rsidRPr="00567526">
        <w:rPr>
          <w:rFonts w:cs="Calibri"/>
          <w:sz w:val="32"/>
          <w:szCs w:val="32"/>
        </w:rPr>
        <w:t xml:space="preserve">you’ll have to justify why and provide the justification within the universal </w:t>
      </w:r>
      <w:r w:rsidR="00A664BF" w:rsidRPr="00567526">
        <w:rPr>
          <w:rFonts w:cs="Calibri"/>
          <w:sz w:val="32"/>
          <w:szCs w:val="32"/>
        </w:rPr>
        <w:t>one-month</w:t>
      </w:r>
      <w:r w:rsidRPr="00567526">
        <w:rPr>
          <w:rFonts w:cs="Calibri"/>
          <w:sz w:val="32"/>
          <w:szCs w:val="32"/>
        </w:rPr>
        <w:t xml:space="preserve"> deadline</w:t>
      </w:r>
      <w:r w:rsidR="00BC2FF1" w:rsidRPr="00567526">
        <w:rPr>
          <w:rFonts w:cs="Calibri"/>
          <w:sz w:val="32"/>
          <w:szCs w:val="32"/>
        </w:rPr>
        <w:t xml:space="preserve"> </w:t>
      </w:r>
      <w:r w:rsidR="00B72577" w:rsidRPr="00567526">
        <w:rPr>
          <w:rFonts w:cs="Calibri"/>
          <w:sz w:val="32"/>
          <w:szCs w:val="32"/>
        </w:rPr>
        <w:lastRenderedPageBreak/>
        <w:t>and</w:t>
      </w:r>
      <w:r w:rsidR="00BC2FF1" w:rsidRPr="00567526">
        <w:rPr>
          <w:rFonts w:cs="Calibri"/>
          <w:sz w:val="32"/>
          <w:szCs w:val="32"/>
        </w:rPr>
        <w:t xml:space="preserve"> explain how the DS can complain against </w:t>
      </w:r>
      <w:r w:rsidR="0069315F">
        <w:rPr>
          <w:rFonts w:cs="Calibri"/>
          <w:sz w:val="32"/>
          <w:szCs w:val="32"/>
        </w:rPr>
        <w:t xml:space="preserve">your </w:t>
      </w:r>
      <w:r w:rsidR="00BC2FF1" w:rsidRPr="00567526">
        <w:rPr>
          <w:rFonts w:cs="Calibri"/>
          <w:sz w:val="32"/>
          <w:szCs w:val="32"/>
        </w:rPr>
        <w:t>decision.</w:t>
      </w:r>
      <w:r w:rsidRPr="00567526">
        <w:rPr>
          <w:rFonts w:cs="Calibri"/>
          <w:sz w:val="32"/>
          <w:szCs w:val="32"/>
        </w:rPr>
        <w:t xml:space="preserve"> </w:t>
      </w:r>
      <w:r w:rsidR="00D92159">
        <w:rPr>
          <w:rFonts w:cs="Calibri"/>
          <w:sz w:val="32"/>
          <w:szCs w:val="32"/>
        </w:rPr>
        <w:t>One obvious reason for declining is if the data has not changed since a previous request.</w:t>
      </w:r>
    </w:p>
    <w:p w14:paraId="5718D51A" w14:textId="77777777" w:rsidR="00956D18" w:rsidRPr="00567526" w:rsidRDefault="00956D18" w:rsidP="00443638">
      <w:pPr>
        <w:rPr>
          <w:rFonts w:cs="Calibri"/>
          <w:sz w:val="32"/>
          <w:szCs w:val="32"/>
        </w:rPr>
      </w:pPr>
    </w:p>
    <w:p w14:paraId="6EB4327D" w14:textId="77777777" w:rsidR="00956D18" w:rsidRPr="00956D18" w:rsidRDefault="001015D5" w:rsidP="00443638">
      <w:pPr>
        <w:rPr>
          <w:rFonts w:cs="Calibri"/>
          <w:b/>
          <w:sz w:val="32"/>
          <w:szCs w:val="32"/>
          <w:u w:val="single"/>
        </w:rPr>
      </w:pPr>
      <w:r>
        <w:rPr>
          <w:rFonts w:cs="Calibri"/>
          <w:b/>
          <w:sz w:val="32"/>
          <w:szCs w:val="32"/>
          <w:u w:val="single"/>
        </w:rPr>
        <w:t xml:space="preserve">3) </w:t>
      </w:r>
      <w:r w:rsidR="00956D18" w:rsidRPr="00956D18">
        <w:rPr>
          <w:rFonts w:cs="Calibri"/>
          <w:b/>
          <w:sz w:val="32"/>
          <w:szCs w:val="32"/>
          <w:u w:val="single"/>
        </w:rPr>
        <w:t>You can agree to respond but require more time</w:t>
      </w:r>
    </w:p>
    <w:p w14:paraId="1201E2C5" w14:textId="77777777" w:rsidR="00956D18" w:rsidRPr="00567526" w:rsidRDefault="00956D18" w:rsidP="00443638">
      <w:pPr>
        <w:rPr>
          <w:rFonts w:cs="Calibri"/>
          <w:sz w:val="32"/>
          <w:szCs w:val="32"/>
        </w:rPr>
      </w:pPr>
    </w:p>
    <w:p w14:paraId="6D654EB2" w14:textId="77777777" w:rsidR="00956D18" w:rsidRPr="00567526" w:rsidRDefault="00956D18" w:rsidP="00443638">
      <w:pPr>
        <w:rPr>
          <w:rFonts w:cs="Calibri"/>
          <w:sz w:val="32"/>
          <w:szCs w:val="32"/>
        </w:rPr>
      </w:pPr>
      <w:r w:rsidRPr="00567526">
        <w:rPr>
          <w:rFonts w:cs="Calibri"/>
          <w:sz w:val="32"/>
          <w:szCs w:val="32"/>
        </w:rPr>
        <w:t xml:space="preserve">You can agree to supply the data, all the data plus the additional information, but because of the difficulties of collating and supplying the data you (and you alone) </w:t>
      </w:r>
      <w:r w:rsidR="00F7625A" w:rsidRPr="00567526">
        <w:rPr>
          <w:rFonts w:cs="Calibri"/>
          <w:sz w:val="32"/>
          <w:szCs w:val="32"/>
        </w:rPr>
        <w:t xml:space="preserve">can </w:t>
      </w:r>
      <w:r w:rsidR="00AF708E">
        <w:rPr>
          <w:rFonts w:cs="Calibri"/>
          <w:sz w:val="32"/>
          <w:szCs w:val="32"/>
        </w:rPr>
        <w:t xml:space="preserve">decide you need </w:t>
      </w:r>
      <w:r w:rsidR="00F7625A" w:rsidRPr="00567526">
        <w:rPr>
          <w:rFonts w:cs="Calibri"/>
          <w:sz w:val="32"/>
          <w:szCs w:val="32"/>
        </w:rPr>
        <w:t xml:space="preserve">more time. You can have up to an additional two months. If you decide you need the additional time you must let the DS know within the universal response </w:t>
      </w:r>
      <w:r w:rsidR="00B72577" w:rsidRPr="00567526">
        <w:rPr>
          <w:rFonts w:cs="Calibri"/>
          <w:sz w:val="32"/>
          <w:szCs w:val="32"/>
        </w:rPr>
        <w:t>one-month</w:t>
      </w:r>
      <w:r w:rsidR="00F7625A" w:rsidRPr="00567526">
        <w:rPr>
          <w:rFonts w:cs="Calibri"/>
          <w:sz w:val="32"/>
          <w:szCs w:val="32"/>
        </w:rPr>
        <w:t xml:space="preserve"> deadline.</w:t>
      </w:r>
      <w:r w:rsidR="00787A45">
        <w:rPr>
          <w:rFonts w:cs="Calibri"/>
          <w:sz w:val="32"/>
          <w:szCs w:val="32"/>
        </w:rPr>
        <w:t xml:space="preserve"> This will also apply to the SAR variants.</w:t>
      </w:r>
      <w:r w:rsidR="00F24EA1">
        <w:rPr>
          <w:rFonts w:cs="Calibri"/>
          <w:sz w:val="32"/>
          <w:szCs w:val="32"/>
        </w:rPr>
        <w:t xml:space="preserve"> The decision to seek more time is yours and yours alone</w:t>
      </w:r>
      <w:r w:rsidR="00A451B9">
        <w:rPr>
          <w:rFonts w:cs="Calibri"/>
          <w:sz w:val="32"/>
          <w:szCs w:val="32"/>
        </w:rPr>
        <w:t xml:space="preserve">, no one can challenge </w:t>
      </w:r>
      <w:r w:rsidR="00AA60FC">
        <w:rPr>
          <w:rFonts w:cs="Calibri"/>
          <w:sz w:val="32"/>
          <w:szCs w:val="32"/>
        </w:rPr>
        <w:t>it</w:t>
      </w:r>
      <w:r w:rsidR="00F24EA1">
        <w:rPr>
          <w:rFonts w:cs="Calibri"/>
          <w:sz w:val="32"/>
          <w:szCs w:val="32"/>
        </w:rPr>
        <w:t xml:space="preserve">. </w:t>
      </w:r>
    </w:p>
    <w:p w14:paraId="6288E62B" w14:textId="77777777" w:rsidR="00956D18" w:rsidRPr="00567526" w:rsidRDefault="00956D18" w:rsidP="00443638">
      <w:pPr>
        <w:rPr>
          <w:rFonts w:cs="Calibri"/>
          <w:b/>
          <w:sz w:val="32"/>
          <w:szCs w:val="32"/>
          <w:u w:val="single"/>
        </w:rPr>
      </w:pPr>
    </w:p>
    <w:p w14:paraId="38F2E1DA" w14:textId="77777777" w:rsidR="00AA60FC" w:rsidRDefault="00443638" w:rsidP="00F7625A">
      <w:pPr>
        <w:rPr>
          <w:rFonts w:cs="Calibri"/>
          <w:b/>
          <w:sz w:val="32"/>
          <w:szCs w:val="32"/>
          <w:u w:val="single"/>
        </w:rPr>
      </w:pPr>
      <w:r w:rsidRPr="00567526">
        <w:rPr>
          <w:rFonts w:cs="Calibri"/>
          <w:b/>
          <w:sz w:val="32"/>
          <w:szCs w:val="32"/>
          <w:u w:val="single"/>
        </w:rPr>
        <w:t>We</w:t>
      </w:r>
      <w:r w:rsidR="00DC5D49" w:rsidRPr="00567526">
        <w:rPr>
          <w:rFonts w:cs="Calibri"/>
          <w:b/>
          <w:sz w:val="32"/>
          <w:szCs w:val="32"/>
          <w:u w:val="single"/>
        </w:rPr>
        <w:t xml:space="preserve">’ve been collecting paper records since the 1940s and electronic stuff for 20 </w:t>
      </w:r>
      <w:r w:rsidR="00B72577" w:rsidRPr="00567526">
        <w:rPr>
          <w:rFonts w:cs="Calibri"/>
          <w:b/>
          <w:sz w:val="32"/>
          <w:szCs w:val="32"/>
          <w:u w:val="single"/>
        </w:rPr>
        <w:t>yrs.</w:t>
      </w:r>
      <w:r w:rsidR="00DC5D49" w:rsidRPr="00567526">
        <w:rPr>
          <w:rFonts w:cs="Calibri"/>
          <w:b/>
          <w:sz w:val="32"/>
          <w:szCs w:val="32"/>
          <w:u w:val="single"/>
        </w:rPr>
        <w:t xml:space="preserve">, we </w:t>
      </w:r>
      <w:r w:rsidRPr="00567526">
        <w:rPr>
          <w:rFonts w:cs="Calibri"/>
          <w:b/>
          <w:sz w:val="32"/>
          <w:szCs w:val="32"/>
          <w:u w:val="single"/>
        </w:rPr>
        <w:t>now have masses of data on our patients, do we have to produce it all</w:t>
      </w:r>
      <w:r w:rsidR="00DC5D49" w:rsidRPr="00567526">
        <w:rPr>
          <w:rFonts w:cs="Calibri"/>
          <w:b/>
          <w:sz w:val="32"/>
          <w:szCs w:val="32"/>
          <w:u w:val="single"/>
        </w:rPr>
        <w:t>?</w:t>
      </w:r>
    </w:p>
    <w:p w14:paraId="58CF470E" w14:textId="77777777" w:rsidR="00AA60FC" w:rsidRDefault="00AA60FC" w:rsidP="00F7625A">
      <w:pPr>
        <w:rPr>
          <w:rFonts w:cs="Calibri"/>
          <w:b/>
          <w:sz w:val="32"/>
          <w:szCs w:val="32"/>
          <w:u w:val="single"/>
        </w:rPr>
      </w:pPr>
    </w:p>
    <w:p w14:paraId="22E5BC47" w14:textId="77777777" w:rsidR="00F7625A" w:rsidRPr="00F7625A" w:rsidRDefault="00AA60FC" w:rsidP="00F7625A">
      <w:pPr>
        <w:rPr>
          <w:rFonts w:cs="Calibri"/>
          <w:b/>
          <w:sz w:val="32"/>
          <w:szCs w:val="32"/>
          <w:u w:val="single"/>
        </w:rPr>
      </w:pPr>
      <w:r>
        <w:rPr>
          <w:rFonts w:cs="Calibri"/>
          <w:b/>
          <w:sz w:val="32"/>
          <w:szCs w:val="32"/>
          <w:u w:val="single"/>
        </w:rPr>
        <w:t>4) No, y</w:t>
      </w:r>
      <w:r w:rsidR="00F7625A" w:rsidRPr="00F7625A">
        <w:rPr>
          <w:rFonts w:cs="Calibri"/>
          <w:b/>
          <w:sz w:val="32"/>
          <w:szCs w:val="32"/>
          <w:u w:val="single"/>
        </w:rPr>
        <w:t>ou can negotiate!</w:t>
      </w:r>
    </w:p>
    <w:p w14:paraId="6274C19D" w14:textId="77777777" w:rsidR="00443638" w:rsidRPr="00567526" w:rsidRDefault="00443638" w:rsidP="00443638">
      <w:pPr>
        <w:rPr>
          <w:rFonts w:cs="Calibri"/>
          <w:b/>
          <w:sz w:val="32"/>
          <w:szCs w:val="32"/>
          <w:u w:val="single"/>
        </w:rPr>
      </w:pPr>
    </w:p>
    <w:p w14:paraId="34348B5D" w14:textId="77777777" w:rsidR="00150B14" w:rsidRPr="00567526" w:rsidRDefault="00F7625A" w:rsidP="00443638">
      <w:pPr>
        <w:rPr>
          <w:rFonts w:cs="Calibri"/>
          <w:sz w:val="32"/>
          <w:szCs w:val="32"/>
        </w:rPr>
      </w:pPr>
      <w:r w:rsidRPr="00567526">
        <w:rPr>
          <w:rFonts w:cs="Calibri"/>
          <w:sz w:val="32"/>
          <w:szCs w:val="32"/>
        </w:rPr>
        <w:t>This is the new one, a negotiated disclosure. U</w:t>
      </w:r>
      <w:r w:rsidR="00443638" w:rsidRPr="00567526">
        <w:rPr>
          <w:rFonts w:cs="Calibri"/>
          <w:sz w:val="32"/>
          <w:szCs w:val="32"/>
        </w:rPr>
        <w:t xml:space="preserve">nder GDPR </w:t>
      </w:r>
      <w:r w:rsidRPr="00567526">
        <w:rPr>
          <w:rFonts w:cs="Calibri"/>
          <w:sz w:val="32"/>
          <w:szCs w:val="32"/>
        </w:rPr>
        <w:t>(see Recital 63</w:t>
      </w:r>
      <w:hyperlink w:anchor="one" w:history="1">
        <w:r w:rsidRPr="00567526">
          <w:rPr>
            <w:rStyle w:val="Hyperlink"/>
            <w:rFonts w:cs="Calibri"/>
            <w:sz w:val="32"/>
            <w:szCs w:val="32"/>
            <w:vertAlign w:val="superscript"/>
          </w:rPr>
          <w:t>1</w:t>
        </w:r>
      </w:hyperlink>
      <w:r w:rsidRPr="00567526">
        <w:rPr>
          <w:rFonts w:cs="Calibri"/>
          <w:sz w:val="32"/>
          <w:szCs w:val="32"/>
        </w:rPr>
        <w:t xml:space="preserve">) </w:t>
      </w:r>
      <w:r w:rsidR="00443638" w:rsidRPr="00567526">
        <w:rPr>
          <w:rFonts w:cs="Calibri"/>
          <w:sz w:val="32"/>
          <w:szCs w:val="32"/>
        </w:rPr>
        <w:t>it is possible to agree with the patient that only certain parts of the record are produced under a SAR</w:t>
      </w:r>
      <w:r w:rsidRPr="00567526">
        <w:rPr>
          <w:rFonts w:cs="Calibri"/>
          <w:sz w:val="32"/>
          <w:szCs w:val="32"/>
        </w:rPr>
        <w:t>.</w:t>
      </w:r>
      <w:r w:rsidR="00DC5D49" w:rsidRPr="00567526">
        <w:rPr>
          <w:rFonts w:cs="Calibri"/>
          <w:sz w:val="32"/>
          <w:szCs w:val="32"/>
        </w:rPr>
        <w:t xml:space="preserve"> A</w:t>
      </w:r>
      <w:r w:rsidR="00443638" w:rsidRPr="00567526">
        <w:rPr>
          <w:rFonts w:cs="Calibri"/>
          <w:sz w:val="32"/>
          <w:szCs w:val="32"/>
        </w:rPr>
        <w:t xml:space="preserve"> SAR was defined under DPA as the entire contents of the patient record </w:t>
      </w:r>
      <w:r w:rsidRPr="00567526">
        <w:rPr>
          <w:rFonts w:cs="Calibri"/>
          <w:sz w:val="32"/>
          <w:szCs w:val="32"/>
        </w:rPr>
        <w:t xml:space="preserve">and under GDPR </w:t>
      </w:r>
      <w:r w:rsidR="00AA60FC">
        <w:rPr>
          <w:rFonts w:cs="Calibri"/>
          <w:sz w:val="32"/>
          <w:szCs w:val="32"/>
        </w:rPr>
        <w:t xml:space="preserve">whilst </w:t>
      </w:r>
      <w:r w:rsidRPr="00567526">
        <w:rPr>
          <w:rFonts w:cs="Calibri"/>
          <w:sz w:val="32"/>
          <w:szCs w:val="32"/>
        </w:rPr>
        <w:t>that is the same basic default assumption</w:t>
      </w:r>
      <w:r w:rsidR="00AA60FC">
        <w:rPr>
          <w:rFonts w:cs="Calibri"/>
          <w:sz w:val="32"/>
          <w:szCs w:val="32"/>
        </w:rPr>
        <w:t xml:space="preserve"> </w:t>
      </w:r>
      <w:r w:rsidR="00B72577" w:rsidRPr="00567526">
        <w:rPr>
          <w:rFonts w:cs="Calibri"/>
          <w:sz w:val="32"/>
          <w:szCs w:val="32"/>
        </w:rPr>
        <w:t>it’s</w:t>
      </w:r>
      <w:r w:rsidR="00443638" w:rsidRPr="00567526">
        <w:rPr>
          <w:rFonts w:cs="Calibri"/>
          <w:sz w:val="32"/>
          <w:szCs w:val="32"/>
        </w:rPr>
        <w:t xml:space="preserve"> been recognised that 20 or more years later we hold masses of data on our </w:t>
      </w:r>
      <w:r w:rsidR="00451F27" w:rsidRPr="00567526">
        <w:rPr>
          <w:rFonts w:cs="Calibri"/>
          <w:sz w:val="32"/>
          <w:szCs w:val="32"/>
        </w:rPr>
        <w:t>patients,</w:t>
      </w:r>
      <w:r w:rsidR="00443638" w:rsidRPr="00567526">
        <w:rPr>
          <w:rFonts w:cs="Calibri"/>
          <w:sz w:val="32"/>
          <w:szCs w:val="32"/>
        </w:rPr>
        <w:t xml:space="preserve"> so a new option has been introduced; a SAR can now be less than the entire record by mutual agreement, I shall call these a “</w:t>
      </w:r>
      <w:r w:rsidR="00DC5D49" w:rsidRPr="00567526">
        <w:rPr>
          <w:rFonts w:cs="Calibri"/>
          <w:sz w:val="32"/>
          <w:szCs w:val="32"/>
        </w:rPr>
        <w:t>Targeted</w:t>
      </w:r>
      <w:r w:rsidR="00443638" w:rsidRPr="00567526">
        <w:rPr>
          <w:rFonts w:cs="Calibri"/>
          <w:sz w:val="32"/>
          <w:szCs w:val="32"/>
        </w:rPr>
        <w:t xml:space="preserve"> SAR”</w:t>
      </w:r>
      <w:r w:rsidR="00DC5D49" w:rsidRPr="00567526">
        <w:rPr>
          <w:rFonts w:cs="Calibri"/>
          <w:sz w:val="32"/>
          <w:szCs w:val="32"/>
        </w:rPr>
        <w:t xml:space="preserve"> (TSAR)</w:t>
      </w:r>
      <w:r w:rsidR="00443638" w:rsidRPr="00567526">
        <w:rPr>
          <w:rFonts w:cs="Calibri"/>
          <w:sz w:val="32"/>
          <w:szCs w:val="32"/>
        </w:rPr>
        <w:t xml:space="preserve">. </w:t>
      </w:r>
    </w:p>
    <w:p w14:paraId="5ED334C4" w14:textId="77777777" w:rsidR="00150B14" w:rsidRPr="00567526" w:rsidRDefault="00150B14" w:rsidP="00443638">
      <w:pPr>
        <w:rPr>
          <w:rFonts w:cs="Calibri"/>
          <w:sz w:val="32"/>
          <w:szCs w:val="32"/>
        </w:rPr>
      </w:pPr>
    </w:p>
    <w:p w14:paraId="679C3611" w14:textId="77777777" w:rsidR="00150B14" w:rsidRPr="00567526" w:rsidRDefault="00150B14" w:rsidP="00443638">
      <w:pPr>
        <w:rPr>
          <w:rFonts w:cs="Calibri"/>
          <w:b/>
          <w:sz w:val="32"/>
          <w:szCs w:val="32"/>
          <w:u w:val="single"/>
        </w:rPr>
      </w:pPr>
      <w:r w:rsidRPr="00567526">
        <w:rPr>
          <w:rFonts w:cs="Calibri"/>
          <w:b/>
          <w:sz w:val="32"/>
          <w:szCs w:val="32"/>
          <w:u w:val="single"/>
        </w:rPr>
        <w:t>Tell me more about TSARs</w:t>
      </w:r>
    </w:p>
    <w:p w14:paraId="6ED31578" w14:textId="77777777" w:rsidR="00150B14" w:rsidRPr="00567526" w:rsidRDefault="00150B14" w:rsidP="00443638">
      <w:pPr>
        <w:rPr>
          <w:rFonts w:cs="Calibri"/>
          <w:sz w:val="32"/>
          <w:szCs w:val="32"/>
        </w:rPr>
      </w:pPr>
    </w:p>
    <w:p w14:paraId="32EBA0FE" w14:textId="77777777" w:rsidR="00443638" w:rsidRDefault="00443638" w:rsidP="00443638">
      <w:pPr>
        <w:rPr>
          <w:rFonts w:cs="Calibri"/>
          <w:sz w:val="32"/>
          <w:szCs w:val="32"/>
        </w:rPr>
      </w:pPr>
      <w:r w:rsidRPr="00567526">
        <w:rPr>
          <w:rFonts w:cs="Calibri"/>
          <w:sz w:val="32"/>
          <w:szCs w:val="32"/>
        </w:rPr>
        <w:t>GDPR allows the DC to ask the individual to specify the information the request relates to, which could narrow down the data needed to satisfy the request. The absolute proviso is that the DS</w:t>
      </w:r>
      <w:r w:rsidR="00AA60FC">
        <w:rPr>
          <w:rFonts w:cs="Calibri"/>
          <w:sz w:val="32"/>
          <w:szCs w:val="32"/>
        </w:rPr>
        <w:t xml:space="preserve"> must </w:t>
      </w:r>
      <w:r w:rsidRPr="00567526">
        <w:rPr>
          <w:rFonts w:cs="Calibri"/>
          <w:sz w:val="32"/>
          <w:szCs w:val="32"/>
        </w:rPr>
        <w:t xml:space="preserve">agree and do so voluntarily and freely. </w:t>
      </w:r>
      <w:r w:rsidR="00DC5D49" w:rsidRPr="00567526">
        <w:rPr>
          <w:rFonts w:cs="Calibri"/>
          <w:sz w:val="32"/>
          <w:szCs w:val="32"/>
        </w:rPr>
        <w:t xml:space="preserve">You can’t use a TSAR to coerce people into asking for less than they want or need. </w:t>
      </w:r>
      <w:r w:rsidRPr="00567526">
        <w:rPr>
          <w:rFonts w:cs="Calibri"/>
          <w:sz w:val="32"/>
          <w:szCs w:val="32"/>
        </w:rPr>
        <w:t xml:space="preserve">In these circumstances it would be best to clearly document what is agreed as being </w:t>
      </w:r>
      <w:r w:rsidR="00150B14" w:rsidRPr="00567526">
        <w:rPr>
          <w:rFonts w:cs="Calibri"/>
          <w:sz w:val="32"/>
          <w:szCs w:val="32"/>
        </w:rPr>
        <w:t xml:space="preserve">the scope of the </w:t>
      </w:r>
      <w:r w:rsidRPr="00567526">
        <w:rPr>
          <w:rFonts w:cs="Calibri"/>
          <w:sz w:val="32"/>
          <w:szCs w:val="32"/>
        </w:rPr>
        <w:t xml:space="preserve">first </w:t>
      </w:r>
      <w:r w:rsidR="00DC5D49" w:rsidRPr="00567526">
        <w:rPr>
          <w:rFonts w:cs="Calibri"/>
          <w:sz w:val="32"/>
          <w:szCs w:val="32"/>
        </w:rPr>
        <w:t>TSAR</w:t>
      </w:r>
      <w:r w:rsidR="00150B14" w:rsidRPr="00567526">
        <w:rPr>
          <w:rFonts w:cs="Calibri"/>
          <w:sz w:val="32"/>
          <w:szCs w:val="32"/>
        </w:rPr>
        <w:t xml:space="preserve">, for instance; </w:t>
      </w:r>
      <w:r w:rsidR="00F7625A" w:rsidRPr="00567526">
        <w:rPr>
          <w:rFonts w:cs="Calibri"/>
          <w:sz w:val="32"/>
          <w:szCs w:val="32"/>
        </w:rPr>
        <w:t xml:space="preserve">only </w:t>
      </w:r>
      <w:r w:rsidR="00150B14" w:rsidRPr="00567526">
        <w:rPr>
          <w:rFonts w:cs="Calibri"/>
          <w:sz w:val="32"/>
          <w:szCs w:val="32"/>
        </w:rPr>
        <w:t xml:space="preserve">the records of </w:t>
      </w:r>
      <w:r w:rsidR="00F7625A" w:rsidRPr="00567526">
        <w:rPr>
          <w:rFonts w:cs="Calibri"/>
          <w:sz w:val="32"/>
          <w:szCs w:val="32"/>
        </w:rPr>
        <w:t>a</w:t>
      </w:r>
      <w:r w:rsidR="00150B14" w:rsidRPr="00567526">
        <w:rPr>
          <w:rFonts w:cs="Calibri"/>
          <w:sz w:val="32"/>
          <w:szCs w:val="32"/>
        </w:rPr>
        <w:t xml:space="preserve"> hip operation</w:t>
      </w:r>
      <w:r w:rsidR="00DC5D49" w:rsidRPr="00567526">
        <w:rPr>
          <w:rFonts w:cs="Calibri"/>
          <w:sz w:val="32"/>
          <w:szCs w:val="32"/>
        </w:rPr>
        <w:t>.</w:t>
      </w:r>
      <w:r w:rsidRPr="00567526">
        <w:rPr>
          <w:rFonts w:cs="Calibri"/>
          <w:sz w:val="32"/>
          <w:szCs w:val="32"/>
        </w:rPr>
        <w:t xml:space="preserve"> </w:t>
      </w:r>
      <w:r w:rsidR="00F7625A" w:rsidRPr="00567526">
        <w:rPr>
          <w:rFonts w:cs="Calibri"/>
          <w:sz w:val="32"/>
          <w:szCs w:val="32"/>
        </w:rPr>
        <w:t xml:space="preserve">Agreeing </w:t>
      </w:r>
      <w:r w:rsidRPr="00567526">
        <w:rPr>
          <w:rFonts w:cs="Calibri"/>
          <w:sz w:val="32"/>
          <w:szCs w:val="32"/>
        </w:rPr>
        <w:t xml:space="preserve">with the DS what is going to be covered by the SAR </w:t>
      </w:r>
      <w:r w:rsidR="00FC42E1" w:rsidRPr="00567526">
        <w:rPr>
          <w:rFonts w:cs="Calibri"/>
          <w:sz w:val="32"/>
          <w:szCs w:val="32"/>
        </w:rPr>
        <w:t>must</w:t>
      </w:r>
      <w:r w:rsidRPr="00567526">
        <w:rPr>
          <w:rFonts w:cs="Calibri"/>
          <w:sz w:val="32"/>
          <w:szCs w:val="32"/>
        </w:rPr>
        <w:t xml:space="preserve"> occur within the “one month” timeframe above. </w:t>
      </w:r>
    </w:p>
    <w:p w14:paraId="148C089E" w14:textId="77777777" w:rsidR="00787A45" w:rsidRDefault="00787A45" w:rsidP="00443638">
      <w:pPr>
        <w:rPr>
          <w:rFonts w:cs="Calibri"/>
          <w:sz w:val="32"/>
          <w:szCs w:val="32"/>
        </w:rPr>
      </w:pPr>
    </w:p>
    <w:p w14:paraId="5B334ECB" w14:textId="77777777" w:rsidR="00787A45" w:rsidRPr="00DE17DB" w:rsidRDefault="00787A45" w:rsidP="00443638">
      <w:pPr>
        <w:rPr>
          <w:rFonts w:cs="Calibri"/>
          <w:b/>
          <w:sz w:val="32"/>
          <w:szCs w:val="32"/>
          <w:u w:val="single"/>
        </w:rPr>
      </w:pPr>
      <w:r w:rsidRPr="00DE17DB">
        <w:rPr>
          <w:rFonts w:cs="Calibri"/>
          <w:b/>
          <w:sz w:val="32"/>
          <w:szCs w:val="32"/>
          <w:u w:val="single"/>
        </w:rPr>
        <w:t>What else could be a TSAR?</w:t>
      </w:r>
    </w:p>
    <w:p w14:paraId="5A62A0D4" w14:textId="77777777" w:rsidR="00787A45" w:rsidRDefault="00787A45" w:rsidP="00443638">
      <w:pPr>
        <w:rPr>
          <w:rFonts w:cs="Calibri"/>
          <w:sz w:val="32"/>
          <w:szCs w:val="32"/>
        </w:rPr>
      </w:pPr>
    </w:p>
    <w:p w14:paraId="14C0D21D" w14:textId="77777777" w:rsidR="00787A45" w:rsidRPr="00567526" w:rsidRDefault="00787A45" w:rsidP="00443638">
      <w:pPr>
        <w:rPr>
          <w:rFonts w:cs="Calibri"/>
          <w:sz w:val="32"/>
          <w:szCs w:val="32"/>
        </w:rPr>
      </w:pPr>
      <w:r>
        <w:rPr>
          <w:rFonts w:cs="Calibri"/>
          <w:sz w:val="32"/>
          <w:szCs w:val="32"/>
        </w:rPr>
        <w:t xml:space="preserve">Some might say a negotiated TSAR is going to be more difficult and time consuming than just unloading the lot, but remember GDPR applies to all data </w:t>
      </w:r>
      <w:r w:rsidR="00A451B9">
        <w:rPr>
          <w:rFonts w:cs="Calibri"/>
          <w:sz w:val="32"/>
          <w:szCs w:val="32"/>
        </w:rPr>
        <w:t>formats;</w:t>
      </w:r>
      <w:r>
        <w:rPr>
          <w:rFonts w:cs="Calibri"/>
          <w:sz w:val="32"/>
          <w:szCs w:val="32"/>
        </w:rPr>
        <w:t xml:space="preserve"> it includes the paper in the Lloyd George envelopes. </w:t>
      </w:r>
      <w:r w:rsidR="00DE17DB">
        <w:rPr>
          <w:rFonts w:cs="Calibri"/>
          <w:sz w:val="32"/>
          <w:szCs w:val="32"/>
        </w:rPr>
        <w:t>So, a sensible TSAR might be everything you have on the DS in electronic form. I can imagine i</w:t>
      </w:r>
      <w:r w:rsidR="00DE17DB" w:rsidRPr="00567526">
        <w:rPr>
          <w:rFonts w:cs="Calibri"/>
          <w:sz w:val="32"/>
          <w:szCs w:val="32"/>
        </w:rPr>
        <w:t xml:space="preserve">n most circumstances the patient </w:t>
      </w:r>
      <w:r w:rsidR="00DE17DB">
        <w:rPr>
          <w:rFonts w:cs="Calibri"/>
          <w:sz w:val="32"/>
          <w:szCs w:val="32"/>
        </w:rPr>
        <w:t xml:space="preserve">is </w:t>
      </w:r>
      <w:r w:rsidR="00DE17DB" w:rsidRPr="00567526">
        <w:rPr>
          <w:rFonts w:cs="Calibri"/>
          <w:sz w:val="32"/>
          <w:szCs w:val="32"/>
        </w:rPr>
        <w:t xml:space="preserve">not </w:t>
      </w:r>
      <w:r w:rsidR="00DE17DB">
        <w:rPr>
          <w:rFonts w:cs="Calibri"/>
          <w:sz w:val="32"/>
          <w:szCs w:val="32"/>
        </w:rPr>
        <w:t xml:space="preserve">likely to want </w:t>
      </w:r>
      <w:r w:rsidR="00DE17DB" w:rsidRPr="00567526">
        <w:rPr>
          <w:rFonts w:cs="Calibri"/>
          <w:sz w:val="32"/>
          <w:szCs w:val="32"/>
        </w:rPr>
        <w:t xml:space="preserve">copies of </w:t>
      </w:r>
      <w:r w:rsidR="00DE17DB">
        <w:rPr>
          <w:rFonts w:cs="Calibri"/>
          <w:sz w:val="32"/>
          <w:szCs w:val="32"/>
        </w:rPr>
        <w:t xml:space="preserve">the </w:t>
      </w:r>
      <w:r w:rsidR="00DE17DB" w:rsidRPr="00567526">
        <w:rPr>
          <w:rFonts w:cs="Calibri"/>
          <w:sz w:val="32"/>
          <w:szCs w:val="32"/>
        </w:rPr>
        <w:t>irrelevant historic paper records</w:t>
      </w:r>
      <w:r w:rsidR="00DE17DB">
        <w:rPr>
          <w:rFonts w:cs="Calibri"/>
          <w:sz w:val="32"/>
          <w:szCs w:val="32"/>
        </w:rPr>
        <w:t xml:space="preserve">. Another might be a simple everything from a certain date. There are other options and I’ve asked the suppliers to facilitate making these easier to action. Remember even for the laziest </w:t>
      </w:r>
      <w:r w:rsidR="00F24EA1">
        <w:rPr>
          <w:rFonts w:cs="Calibri"/>
          <w:sz w:val="32"/>
          <w:szCs w:val="32"/>
        </w:rPr>
        <w:t>“</w:t>
      </w:r>
      <w:r w:rsidR="00DE17DB">
        <w:rPr>
          <w:rFonts w:cs="Calibri"/>
          <w:sz w:val="32"/>
          <w:szCs w:val="32"/>
        </w:rPr>
        <w:t>download everything SAR</w:t>
      </w:r>
      <w:r w:rsidR="00F24EA1">
        <w:rPr>
          <w:rFonts w:cs="Calibri"/>
          <w:sz w:val="32"/>
          <w:szCs w:val="32"/>
        </w:rPr>
        <w:t>”</w:t>
      </w:r>
      <w:r w:rsidR="00DE17DB">
        <w:rPr>
          <w:rFonts w:cs="Calibri"/>
          <w:sz w:val="32"/>
          <w:szCs w:val="32"/>
        </w:rPr>
        <w:t xml:space="preserve"> you still have to protect any other DSs mentioned in the </w:t>
      </w:r>
      <w:r w:rsidR="00A451B9">
        <w:rPr>
          <w:rFonts w:cs="Calibri"/>
          <w:sz w:val="32"/>
          <w:szCs w:val="32"/>
        </w:rPr>
        <w:t>requestor’s</w:t>
      </w:r>
      <w:r w:rsidR="00DE17DB">
        <w:rPr>
          <w:rFonts w:cs="Calibri"/>
          <w:sz w:val="32"/>
          <w:szCs w:val="32"/>
        </w:rPr>
        <w:t xml:space="preserve"> records, i.e. redaction of </w:t>
      </w:r>
      <w:r w:rsidR="00F24EA1">
        <w:rPr>
          <w:rFonts w:cs="Calibri"/>
          <w:sz w:val="32"/>
          <w:szCs w:val="32"/>
        </w:rPr>
        <w:t>non-medical</w:t>
      </w:r>
      <w:r w:rsidR="00DE17DB">
        <w:rPr>
          <w:rFonts w:cs="Calibri"/>
          <w:sz w:val="32"/>
          <w:szCs w:val="32"/>
        </w:rPr>
        <w:t xml:space="preserve"> 3</w:t>
      </w:r>
      <w:r w:rsidR="00DE17DB" w:rsidRPr="00DE17DB">
        <w:rPr>
          <w:rFonts w:cs="Calibri"/>
          <w:sz w:val="32"/>
          <w:szCs w:val="32"/>
          <w:vertAlign w:val="superscript"/>
        </w:rPr>
        <w:t>rd</w:t>
      </w:r>
      <w:r w:rsidR="00DE17DB">
        <w:rPr>
          <w:rFonts w:cs="Calibri"/>
          <w:sz w:val="32"/>
          <w:szCs w:val="32"/>
        </w:rPr>
        <w:t xml:space="preserve"> parties. The less there is </w:t>
      </w:r>
      <w:r w:rsidR="00A451B9">
        <w:rPr>
          <w:rFonts w:cs="Calibri"/>
          <w:sz w:val="32"/>
          <w:szCs w:val="32"/>
        </w:rPr>
        <w:t>to hand over</w:t>
      </w:r>
      <w:r w:rsidR="00DE17DB">
        <w:rPr>
          <w:rFonts w:cs="Calibri"/>
          <w:sz w:val="32"/>
          <w:szCs w:val="32"/>
        </w:rPr>
        <w:t>, the less there is to redact.</w:t>
      </w:r>
    </w:p>
    <w:p w14:paraId="444967FE" w14:textId="77777777" w:rsidR="00443638" w:rsidRPr="00567526" w:rsidRDefault="00443638" w:rsidP="00443638">
      <w:pPr>
        <w:rPr>
          <w:rFonts w:cs="Calibri"/>
          <w:sz w:val="32"/>
          <w:szCs w:val="32"/>
        </w:rPr>
      </w:pPr>
    </w:p>
    <w:p w14:paraId="4F2763B9" w14:textId="77777777" w:rsidR="00E36667" w:rsidRPr="00567526" w:rsidRDefault="00E36667" w:rsidP="00443638">
      <w:pPr>
        <w:rPr>
          <w:rFonts w:cs="Calibri"/>
          <w:b/>
          <w:sz w:val="32"/>
          <w:szCs w:val="32"/>
          <w:u w:val="single"/>
        </w:rPr>
      </w:pPr>
      <w:r w:rsidRPr="00567526">
        <w:rPr>
          <w:rFonts w:cs="Calibri"/>
          <w:b/>
          <w:sz w:val="32"/>
          <w:szCs w:val="32"/>
          <w:u w:val="single"/>
        </w:rPr>
        <w:t xml:space="preserve">And about all </w:t>
      </w:r>
      <w:r w:rsidR="00FC42E1" w:rsidRPr="00567526">
        <w:rPr>
          <w:rFonts w:cs="Calibri"/>
          <w:b/>
          <w:sz w:val="32"/>
          <w:szCs w:val="32"/>
          <w:u w:val="single"/>
        </w:rPr>
        <w:t>disclosures</w:t>
      </w:r>
      <w:r w:rsidR="00787A45">
        <w:rPr>
          <w:rFonts w:cs="Calibri"/>
          <w:b/>
          <w:sz w:val="32"/>
          <w:szCs w:val="32"/>
          <w:u w:val="single"/>
        </w:rPr>
        <w:t>, electronic by default</w:t>
      </w:r>
    </w:p>
    <w:p w14:paraId="352991FD" w14:textId="77777777" w:rsidR="00E36667" w:rsidRPr="00567526" w:rsidRDefault="00E36667" w:rsidP="00443638">
      <w:pPr>
        <w:rPr>
          <w:rFonts w:cs="Calibri"/>
          <w:sz w:val="32"/>
          <w:szCs w:val="32"/>
        </w:rPr>
      </w:pPr>
    </w:p>
    <w:p w14:paraId="16D27253" w14:textId="77777777" w:rsidR="00E36667" w:rsidRPr="00567526" w:rsidRDefault="00A664BF" w:rsidP="00E36667">
      <w:pPr>
        <w:rPr>
          <w:rFonts w:eastAsia="Times New Roman" w:cs="Calibri"/>
          <w:color w:val="000000"/>
          <w:sz w:val="32"/>
          <w:szCs w:val="32"/>
          <w:lang w:eastAsia="en-GB"/>
        </w:rPr>
      </w:pPr>
      <w:r>
        <w:rPr>
          <w:rFonts w:eastAsia="Times New Roman" w:cs="Calibri"/>
          <w:color w:val="000000"/>
          <w:sz w:val="32"/>
          <w:szCs w:val="32"/>
          <w:lang w:eastAsia="en-GB"/>
        </w:rPr>
        <w:t>“</w:t>
      </w:r>
      <w:r w:rsidR="00E36667" w:rsidRPr="00E36667">
        <w:rPr>
          <w:rFonts w:eastAsia="Times New Roman" w:cs="Calibri"/>
          <w:color w:val="000000"/>
          <w:sz w:val="32"/>
          <w:szCs w:val="32"/>
          <w:lang w:eastAsia="en-GB"/>
        </w:rPr>
        <w:t>Where the data subject makes the request by electronic means, and unless otherwise requested by the data subject, the information shall be provided in a commonly used electronic form</w:t>
      </w:r>
      <w:r>
        <w:rPr>
          <w:rFonts w:eastAsia="Times New Roman" w:cs="Calibri"/>
          <w:color w:val="000000"/>
          <w:sz w:val="32"/>
          <w:szCs w:val="32"/>
          <w:lang w:eastAsia="en-GB"/>
        </w:rPr>
        <w:t>”</w:t>
      </w:r>
      <w:r w:rsidR="00E36667">
        <w:rPr>
          <w:rFonts w:eastAsia="Times New Roman" w:cs="Calibri"/>
          <w:color w:val="000000"/>
          <w:sz w:val="32"/>
          <w:szCs w:val="32"/>
          <w:lang w:eastAsia="en-GB"/>
        </w:rPr>
        <w:t xml:space="preserve">. Furthermore Recital 63 provide us GPs with a very </w:t>
      </w:r>
      <w:r>
        <w:rPr>
          <w:rFonts w:eastAsia="Times New Roman" w:cs="Calibri"/>
          <w:color w:val="000000"/>
          <w:sz w:val="32"/>
          <w:szCs w:val="32"/>
          <w:lang w:eastAsia="en-GB"/>
        </w:rPr>
        <w:t>useful</w:t>
      </w:r>
      <w:r w:rsidR="00E36667">
        <w:rPr>
          <w:rFonts w:eastAsia="Times New Roman" w:cs="Calibri"/>
          <w:color w:val="000000"/>
          <w:sz w:val="32"/>
          <w:szCs w:val="32"/>
          <w:lang w:eastAsia="en-GB"/>
        </w:rPr>
        <w:t xml:space="preserve"> steer; </w:t>
      </w:r>
      <w:r w:rsidR="00E36667" w:rsidRPr="00567526">
        <w:rPr>
          <w:rFonts w:eastAsia="Times New Roman" w:cs="Calibri"/>
          <w:color w:val="000000"/>
          <w:sz w:val="32"/>
          <w:szCs w:val="32"/>
          <w:lang w:eastAsia="en-GB"/>
        </w:rPr>
        <w:t xml:space="preserve">“Where possible, the controller should be able to provide remote access to a secure system which would provide the data subject with direct access to his or her personal data”. So that looks like Patient On-Line access would </w:t>
      </w:r>
      <w:r w:rsidRPr="00567526">
        <w:rPr>
          <w:rFonts w:eastAsia="Times New Roman" w:cs="Calibri"/>
          <w:color w:val="000000"/>
          <w:sz w:val="32"/>
          <w:szCs w:val="32"/>
          <w:lang w:eastAsia="en-GB"/>
        </w:rPr>
        <w:t>fit that bill very</w:t>
      </w:r>
      <w:r w:rsidR="00E36667" w:rsidRPr="00567526">
        <w:rPr>
          <w:rFonts w:eastAsia="Times New Roman" w:cs="Calibri"/>
          <w:color w:val="000000"/>
          <w:sz w:val="32"/>
          <w:szCs w:val="32"/>
          <w:lang w:eastAsia="en-GB"/>
        </w:rPr>
        <w:t xml:space="preserve"> nicely. </w:t>
      </w:r>
      <w:r w:rsidRPr="00567526">
        <w:rPr>
          <w:rFonts w:eastAsia="Times New Roman" w:cs="Calibri"/>
          <w:color w:val="000000"/>
          <w:sz w:val="32"/>
          <w:szCs w:val="32"/>
          <w:lang w:eastAsia="en-GB"/>
        </w:rPr>
        <w:t>Signing patients up for NHS provided On-Line Access</w:t>
      </w:r>
      <w:hyperlink w:anchor="three" w:history="1">
        <w:r w:rsidRPr="00567526">
          <w:rPr>
            <w:rStyle w:val="Hyperlink"/>
            <w:rFonts w:eastAsia="Times New Roman" w:cs="Calibri"/>
            <w:sz w:val="32"/>
            <w:szCs w:val="32"/>
            <w:vertAlign w:val="superscript"/>
            <w:lang w:eastAsia="en-GB"/>
          </w:rPr>
          <w:t>3</w:t>
        </w:r>
      </w:hyperlink>
      <w:r w:rsidRPr="00567526">
        <w:rPr>
          <w:rFonts w:eastAsia="Times New Roman" w:cs="Calibri"/>
          <w:color w:val="000000"/>
          <w:sz w:val="32"/>
          <w:szCs w:val="32"/>
          <w:lang w:eastAsia="en-GB"/>
        </w:rPr>
        <w:t xml:space="preserve"> and ensuring they have a link to your PPN or PNs would satisfy GDPR </w:t>
      </w:r>
      <w:r w:rsidR="004C1A1F" w:rsidRPr="00567526">
        <w:rPr>
          <w:rFonts w:eastAsia="Times New Roman" w:cs="Calibri"/>
          <w:color w:val="000000"/>
          <w:sz w:val="32"/>
          <w:szCs w:val="32"/>
          <w:lang w:eastAsia="en-GB"/>
        </w:rPr>
        <w:t>DS access rights in full.</w:t>
      </w:r>
    </w:p>
    <w:p w14:paraId="2278A4B5" w14:textId="77777777" w:rsidR="00E36667" w:rsidRPr="00E36667" w:rsidRDefault="00E36667" w:rsidP="00E36667">
      <w:pPr>
        <w:rPr>
          <w:rFonts w:cs="Calibri"/>
          <w:sz w:val="32"/>
          <w:szCs w:val="32"/>
        </w:rPr>
      </w:pPr>
    </w:p>
    <w:p w14:paraId="09538355" w14:textId="77777777" w:rsidR="00443638" w:rsidRDefault="00CB20B0" w:rsidP="00443638">
      <w:pPr>
        <w:rPr>
          <w:rFonts w:cs="Calibri"/>
          <w:b/>
          <w:sz w:val="32"/>
          <w:szCs w:val="32"/>
          <w:u w:val="single"/>
        </w:rPr>
      </w:pPr>
      <w:r>
        <w:rPr>
          <w:rFonts w:cs="Calibri"/>
          <w:b/>
          <w:sz w:val="32"/>
          <w:szCs w:val="32"/>
          <w:u w:val="single"/>
        </w:rPr>
        <w:t xml:space="preserve">When </w:t>
      </w:r>
      <w:r w:rsidR="00443638" w:rsidRPr="00567526">
        <w:rPr>
          <w:rFonts w:cs="Calibri"/>
          <w:b/>
          <w:sz w:val="32"/>
          <w:szCs w:val="32"/>
          <w:u w:val="single"/>
        </w:rPr>
        <w:t>can I charge?</w:t>
      </w:r>
    </w:p>
    <w:p w14:paraId="63E2039B" w14:textId="77777777" w:rsidR="00A74C29" w:rsidRDefault="00A74C29" w:rsidP="00443638">
      <w:pPr>
        <w:rPr>
          <w:rFonts w:cs="Calibri"/>
          <w:b/>
          <w:sz w:val="32"/>
          <w:szCs w:val="32"/>
          <w:u w:val="single"/>
        </w:rPr>
      </w:pPr>
    </w:p>
    <w:p w14:paraId="70B14632" w14:textId="77777777" w:rsidR="005806E2" w:rsidRPr="005806E2" w:rsidRDefault="00A74C29" w:rsidP="00A74C29">
      <w:pPr>
        <w:rPr>
          <w:rFonts w:cs="Calibri"/>
          <w:sz w:val="32"/>
          <w:szCs w:val="32"/>
        </w:rPr>
      </w:pPr>
      <w:r w:rsidRPr="005806E2">
        <w:rPr>
          <w:rFonts w:cs="Calibri"/>
          <w:sz w:val="32"/>
          <w:szCs w:val="32"/>
        </w:rPr>
        <w:t xml:space="preserve">There is a developing myth that you cannot charge for SARs or TSARs. </w:t>
      </w:r>
      <w:r w:rsidR="005806E2" w:rsidRPr="005806E2">
        <w:rPr>
          <w:rFonts w:cs="Calibri"/>
          <w:sz w:val="32"/>
          <w:szCs w:val="32"/>
        </w:rPr>
        <w:t xml:space="preserve">This is a myth, </w:t>
      </w:r>
      <w:r w:rsidR="00A451B9" w:rsidRPr="005806E2">
        <w:rPr>
          <w:rFonts w:cs="Calibri"/>
          <w:sz w:val="32"/>
          <w:szCs w:val="32"/>
        </w:rPr>
        <w:t>doubly</w:t>
      </w:r>
      <w:r w:rsidR="005806E2" w:rsidRPr="005806E2">
        <w:rPr>
          <w:rFonts w:cs="Calibri"/>
          <w:sz w:val="32"/>
          <w:szCs w:val="32"/>
        </w:rPr>
        <w:t xml:space="preserve"> so, because there are </w:t>
      </w:r>
      <w:r w:rsidR="00A451B9">
        <w:rPr>
          <w:rFonts w:cs="Calibri"/>
          <w:sz w:val="32"/>
          <w:szCs w:val="32"/>
        </w:rPr>
        <w:t xml:space="preserve">in fact </w:t>
      </w:r>
      <w:r w:rsidR="005806E2" w:rsidRPr="005806E2">
        <w:rPr>
          <w:rFonts w:cs="Calibri"/>
          <w:sz w:val="32"/>
          <w:szCs w:val="32"/>
        </w:rPr>
        <w:t xml:space="preserve">two conditions </w:t>
      </w:r>
      <w:r w:rsidR="00A451B9" w:rsidRPr="005806E2">
        <w:rPr>
          <w:rFonts w:cs="Calibri"/>
          <w:sz w:val="32"/>
          <w:szCs w:val="32"/>
        </w:rPr>
        <w:t>under which</w:t>
      </w:r>
      <w:r w:rsidR="005806E2" w:rsidRPr="005806E2">
        <w:rPr>
          <w:rFonts w:cs="Calibri"/>
          <w:sz w:val="32"/>
          <w:szCs w:val="32"/>
        </w:rPr>
        <w:t xml:space="preserve"> you can charge, one, for straightforward copies and two</w:t>
      </w:r>
      <w:r w:rsidR="00AA60FC">
        <w:rPr>
          <w:rFonts w:cs="Calibri"/>
          <w:sz w:val="32"/>
          <w:szCs w:val="32"/>
        </w:rPr>
        <w:t>,</w:t>
      </w:r>
      <w:r w:rsidR="005806E2" w:rsidRPr="005806E2">
        <w:rPr>
          <w:rFonts w:cs="Calibri"/>
          <w:sz w:val="32"/>
          <w:szCs w:val="32"/>
        </w:rPr>
        <w:t xml:space="preserve"> for </w:t>
      </w:r>
      <w:r w:rsidR="00D97435">
        <w:rPr>
          <w:rFonts w:cs="Calibri"/>
          <w:sz w:val="32"/>
          <w:szCs w:val="32"/>
        </w:rPr>
        <w:t xml:space="preserve">burdensome, </w:t>
      </w:r>
      <w:r w:rsidR="005806E2" w:rsidRPr="005806E2">
        <w:rPr>
          <w:rFonts w:cs="Calibri"/>
          <w:sz w:val="32"/>
          <w:szCs w:val="32"/>
        </w:rPr>
        <w:t>irksome</w:t>
      </w:r>
      <w:r w:rsidR="00AA60FC">
        <w:rPr>
          <w:rFonts w:cs="Calibri"/>
          <w:sz w:val="32"/>
          <w:szCs w:val="32"/>
        </w:rPr>
        <w:t>, vexatious</w:t>
      </w:r>
      <w:r w:rsidR="005806E2" w:rsidRPr="005806E2">
        <w:rPr>
          <w:rFonts w:cs="Calibri"/>
          <w:sz w:val="32"/>
          <w:szCs w:val="32"/>
        </w:rPr>
        <w:t xml:space="preserve"> and irritating requests.</w:t>
      </w:r>
      <w:r w:rsidR="004852F7">
        <w:rPr>
          <w:rFonts w:cs="Calibri"/>
          <w:sz w:val="32"/>
          <w:szCs w:val="32"/>
        </w:rPr>
        <w:t xml:space="preserve"> And the charges allowed are </w:t>
      </w:r>
      <w:r w:rsidR="00D97435">
        <w:rPr>
          <w:rFonts w:cs="Calibri"/>
          <w:sz w:val="32"/>
          <w:szCs w:val="32"/>
        </w:rPr>
        <w:t xml:space="preserve">also </w:t>
      </w:r>
      <w:r w:rsidR="004852F7">
        <w:rPr>
          <w:rFonts w:cs="Calibri"/>
          <w:sz w:val="32"/>
          <w:szCs w:val="32"/>
        </w:rPr>
        <w:t>different.</w:t>
      </w:r>
      <w:r w:rsidR="00904D53">
        <w:rPr>
          <w:rFonts w:cs="Calibri"/>
          <w:sz w:val="32"/>
          <w:szCs w:val="32"/>
        </w:rPr>
        <w:t xml:space="preserve"> So note</w:t>
      </w:r>
      <w:r w:rsidR="00AA60FC">
        <w:rPr>
          <w:rFonts w:cs="Calibri"/>
          <w:sz w:val="32"/>
          <w:szCs w:val="32"/>
        </w:rPr>
        <w:t xml:space="preserve"> this</w:t>
      </w:r>
      <w:r w:rsidR="00904D53">
        <w:rPr>
          <w:rFonts w:cs="Calibri"/>
          <w:sz w:val="32"/>
          <w:szCs w:val="32"/>
        </w:rPr>
        <w:t xml:space="preserve"> </w:t>
      </w:r>
      <w:r w:rsidR="00AA60FC">
        <w:rPr>
          <w:rFonts w:cs="Calibri"/>
          <w:sz w:val="32"/>
          <w:szCs w:val="32"/>
        </w:rPr>
        <w:t xml:space="preserve">section </w:t>
      </w:r>
      <w:r w:rsidR="00904D53">
        <w:rPr>
          <w:rFonts w:cs="Calibri"/>
          <w:sz w:val="32"/>
          <w:szCs w:val="32"/>
        </w:rPr>
        <w:t xml:space="preserve">carefully, its taken me two attempts to get </w:t>
      </w:r>
      <w:r w:rsidR="00AA60FC">
        <w:rPr>
          <w:rFonts w:cs="Calibri"/>
          <w:sz w:val="32"/>
          <w:szCs w:val="32"/>
        </w:rPr>
        <w:t>it</w:t>
      </w:r>
      <w:r w:rsidR="00904D53">
        <w:rPr>
          <w:rFonts w:cs="Calibri"/>
          <w:sz w:val="32"/>
          <w:szCs w:val="32"/>
        </w:rPr>
        <w:t xml:space="preserve"> right!</w:t>
      </w:r>
    </w:p>
    <w:p w14:paraId="5BDED3CA" w14:textId="77777777" w:rsidR="005806E2" w:rsidRPr="005806E2" w:rsidRDefault="005806E2" w:rsidP="00A74C29">
      <w:pPr>
        <w:rPr>
          <w:rFonts w:cs="Calibri"/>
          <w:sz w:val="32"/>
          <w:szCs w:val="32"/>
        </w:rPr>
      </w:pPr>
    </w:p>
    <w:p w14:paraId="0E6FCE51" w14:textId="77777777" w:rsidR="005806E2" w:rsidRPr="00403EB1" w:rsidRDefault="005806E2" w:rsidP="005806E2">
      <w:pPr>
        <w:rPr>
          <w:rFonts w:cs="Calibri"/>
          <w:b/>
          <w:sz w:val="32"/>
          <w:szCs w:val="32"/>
          <w:u w:val="single"/>
        </w:rPr>
      </w:pPr>
      <w:r>
        <w:rPr>
          <w:rFonts w:cs="Calibri"/>
          <w:b/>
          <w:sz w:val="32"/>
          <w:szCs w:val="32"/>
          <w:u w:val="single"/>
        </w:rPr>
        <w:t>One</w:t>
      </w:r>
      <w:r w:rsidR="00AA60FC">
        <w:rPr>
          <w:rFonts w:cs="Calibri"/>
          <w:b/>
          <w:sz w:val="32"/>
          <w:szCs w:val="32"/>
          <w:u w:val="single"/>
        </w:rPr>
        <w:t xml:space="preserve">, </w:t>
      </w:r>
      <w:r>
        <w:rPr>
          <w:rFonts w:cs="Calibri"/>
          <w:b/>
          <w:sz w:val="32"/>
          <w:szCs w:val="32"/>
          <w:u w:val="single"/>
        </w:rPr>
        <w:t>straightforward copies</w:t>
      </w:r>
      <w:r w:rsidR="00AA60FC">
        <w:rPr>
          <w:rFonts w:cs="Calibri"/>
          <w:b/>
          <w:sz w:val="32"/>
          <w:szCs w:val="32"/>
          <w:u w:val="single"/>
        </w:rPr>
        <w:t>, (Article 12, para. 3)</w:t>
      </w:r>
      <w:r>
        <w:rPr>
          <w:rFonts w:cs="Calibri"/>
          <w:b/>
          <w:sz w:val="32"/>
          <w:szCs w:val="32"/>
          <w:u w:val="single"/>
        </w:rPr>
        <w:t xml:space="preserve"> </w:t>
      </w:r>
    </w:p>
    <w:p w14:paraId="724ABC69" w14:textId="77777777" w:rsidR="005806E2" w:rsidRDefault="005806E2" w:rsidP="005806E2">
      <w:pPr>
        <w:rPr>
          <w:rFonts w:cs="Calibri"/>
          <w:sz w:val="32"/>
          <w:szCs w:val="32"/>
        </w:rPr>
      </w:pPr>
    </w:p>
    <w:p w14:paraId="382AF0D2" w14:textId="77777777" w:rsidR="00856BD3" w:rsidRDefault="00856BD3" w:rsidP="005806E2">
      <w:pPr>
        <w:rPr>
          <w:rFonts w:cs="Calibri"/>
          <w:sz w:val="32"/>
          <w:szCs w:val="32"/>
        </w:rPr>
      </w:pPr>
      <w:r>
        <w:rPr>
          <w:rFonts w:cs="Calibri"/>
          <w:sz w:val="32"/>
          <w:szCs w:val="32"/>
        </w:rPr>
        <w:t xml:space="preserve">The </w:t>
      </w:r>
      <w:r w:rsidR="00AA60FC">
        <w:rPr>
          <w:rFonts w:cs="Calibri"/>
          <w:sz w:val="32"/>
          <w:szCs w:val="32"/>
        </w:rPr>
        <w:t xml:space="preserve">clause </w:t>
      </w:r>
      <w:r>
        <w:rPr>
          <w:rFonts w:cs="Calibri"/>
          <w:sz w:val="32"/>
          <w:szCs w:val="32"/>
        </w:rPr>
        <w:t xml:space="preserve">says it all, plain and simple, black and white, first one is free, copies are not. </w:t>
      </w:r>
      <w:r w:rsidR="005806E2" w:rsidRPr="00567526">
        <w:rPr>
          <w:rFonts w:cs="Calibri"/>
          <w:sz w:val="32"/>
          <w:szCs w:val="32"/>
        </w:rPr>
        <w:t>“</w:t>
      </w:r>
      <w:r w:rsidR="005806E2" w:rsidRPr="00BC2FF1">
        <w:rPr>
          <w:rFonts w:eastAsia="Times New Roman" w:cs="Calibri"/>
          <w:color w:val="000000"/>
          <w:sz w:val="32"/>
          <w:szCs w:val="32"/>
          <w:lang w:eastAsia="en-GB"/>
        </w:rPr>
        <w:t>The controller shall provide a copy of the personal data undergoing processing. For any further copies requested by the data subject, the controller may charge a reasonable fee based on administrative costs.</w:t>
      </w:r>
      <w:r w:rsidR="005806E2">
        <w:rPr>
          <w:rFonts w:eastAsia="Times New Roman" w:cs="Calibri"/>
          <w:color w:val="000000"/>
          <w:sz w:val="32"/>
          <w:szCs w:val="32"/>
          <w:lang w:eastAsia="en-GB"/>
        </w:rPr>
        <w:t>”</w:t>
      </w:r>
      <w:hyperlink w:anchor="two" w:history="1">
        <w:r w:rsidR="005806E2" w:rsidRPr="00E36667">
          <w:rPr>
            <w:rStyle w:val="Hyperlink"/>
            <w:rFonts w:eastAsia="Times New Roman" w:cs="Calibri"/>
            <w:sz w:val="32"/>
            <w:szCs w:val="32"/>
            <w:vertAlign w:val="superscript"/>
            <w:lang w:eastAsia="en-GB"/>
          </w:rPr>
          <w:t>2</w:t>
        </w:r>
      </w:hyperlink>
      <w:r w:rsidR="005806E2">
        <w:rPr>
          <w:rFonts w:eastAsia="Times New Roman" w:cs="Calibri"/>
          <w:color w:val="000000"/>
          <w:sz w:val="32"/>
          <w:szCs w:val="32"/>
          <w:vertAlign w:val="superscript"/>
          <w:lang w:eastAsia="en-GB"/>
        </w:rPr>
        <w:t xml:space="preserve"> </w:t>
      </w:r>
      <w:r w:rsidR="005806E2">
        <w:rPr>
          <w:rFonts w:cs="Calibri"/>
          <w:sz w:val="32"/>
          <w:szCs w:val="32"/>
        </w:rPr>
        <w:t xml:space="preserve">. </w:t>
      </w:r>
    </w:p>
    <w:p w14:paraId="626578AF" w14:textId="77777777" w:rsidR="00856BD3" w:rsidRDefault="00856BD3" w:rsidP="005806E2">
      <w:pPr>
        <w:rPr>
          <w:rFonts w:cs="Calibri"/>
          <w:sz w:val="32"/>
          <w:szCs w:val="32"/>
        </w:rPr>
      </w:pPr>
    </w:p>
    <w:p w14:paraId="69D3CDF4" w14:textId="77777777" w:rsidR="005806E2" w:rsidRDefault="00856BD3" w:rsidP="005806E2">
      <w:pPr>
        <w:rPr>
          <w:rFonts w:cs="Calibri"/>
          <w:sz w:val="32"/>
          <w:szCs w:val="32"/>
        </w:rPr>
      </w:pPr>
      <w:r>
        <w:rPr>
          <w:rFonts w:cs="Calibri"/>
          <w:sz w:val="32"/>
          <w:szCs w:val="32"/>
        </w:rPr>
        <w:t xml:space="preserve">Please </w:t>
      </w:r>
      <w:r w:rsidR="004852F7">
        <w:rPr>
          <w:rFonts w:cs="Calibri"/>
          <w:sz w:val="32"/>
          <w:szCs w:val="32"/>
        </w:rPr>
        <w:t xml:space="preserve">post those </w:t>
      </w:r>
      <w:r>
        <w:rPr>
          <w:rFonts w:cs="Calibri"/>
          <w:sz w:val="32"/>
          <w:szCs w:val="32"/>
        </w:rPr>
        <w:t>words “</w:t>
      </w:r>
      <w:r w:rsidR="005806E2" w:rsidRPr="00567526">
        <w:rPr>
          <w:rFonts w:cs="Calibri"/>
          <w:sz w:val="32"/>
          <w:szCs w:val="32"/>
        </w:rPr>
        <w:t>administrative costs</w:t>
      </w:r>
      <w:r>
        <w:rPr>
          <w:rFonts w:cs="Calibri"/>
          <w:sz w:val="32"/>
          <w:szCs w:val="32"/>
        </w:rPr>
        <w:t>”</w:t>
      </w:r>
      <w:r w:rsidR="004852F7">
        <w:rPr>
          <w:rFonts w:cs="Calibri"/>
          <w:sz w:val="32"/>
          <w:szCs w:val="32"/>
        </w:rPr>
        <w:t xml:space="preserve"> in a </w:t>
      </w:r>
      <w:r w:rsidR="00904D53">
        <w:rPr>
          <w:rFonts w:cs="Calibri"/>
          <w:sz w:val="32"/>
          <w:szCs w:val="32"/>
        </w:rPr>
        <w:t xml:space="preserve">mental </w:t>
      </w:r>
      <w:r w:rsidR="004852F7">
        <w:rPr>
          <w:rFonts w:cs="Calibri"/>
          <w:sz w:val="32"/>
          <w:szCs w:val="32"/>
        </w:rPr>
        <w:t>siding</w:t>
      </w:r>
      <w:r w:rsidR="00AA60FC">
        <w:rPr>
          <w:rFonts w:cs="Calibri"/>
          <w:sz w:val="32"/>
          <w:szCs w:val="32"/>
        </w:rPr>
        <w:t xml:space="preserve"> because </w:t>
      </w:r>
      <w:r w:rsidR="004852F7">
        <w:rPr>
          <w:rFonts w:cs="Calibri"/>
          <w:sz w:val="32"/>
          <w:szCs w:val="32"/>
        </w:rPr>
        <w:t>we’ll come back to them later</w:t>
      </w:r>
      <w:r w:rsidR="005806E2">
        <w:rPr>
          <w:rFonts w:cs="Calibri"/>
          <w:sz w:val="32"/>
          <w:szCs w:val="32"/>
        </w:rPr>
        <w:t>.</w:t>
      </w:r>
    </w:p>
    <w:p w14:paraId="7D90F78F" w14:textId="77777777" w:rsidR="00856BD3" w:rsidRDefault="00856BD3" w:rsidP="005806E2">
      <w:pPr>
        <w:rPr>
          <w:rFonts w:cs="Calibri"/>
          <w:sz w:val="32"/>
          <w:szCs w:val="32"/>
        </w:rPr>
      </w:pPr>
    </w:p>
    <w:p w14:paraId="3D7614B2" w14:textId="77777777" w:rsidR="00AA60FC" w:rsidRDefault="004852F7" w:rsidP="005806E2">
      <w:pPr>
        <w:rPr>
          <w:rFonts w:cs="Calibri"/>
          <w:sz w:val="32"/>
          <w:szCs w:val="32"/>
        </w:rPr>
      </w:pPr>
      <w:r>
        <w:rPr>
          <w:rFonts w:cs="Calibri"/>
          <w:sz w:val="32"/>
          <w:szCs w:val="32"/>
        </w:rPr>
        <w:t xml:space="preserve">Back to copying, </w:t>
      </w:r>
      <w:r w:rsidR="00856BD3">
        <w:rPr>
          <w:rFonts w:cs="Calibri"/>
          <w:sz w:val="32"/>
          <w:szCs w:val="32"/>
        </w:rPr>
        <w:t xml:space="preserve">GDPR makes no comment on how </w:t>
      </w:r>
      <w:r w:rsidR="00AA60FC">
        <w:rPr>
          <w:rFonts w:cs="Calibri"/>
          <w:sz w:val="32"/>
          <w:szCs w:val="32"/>
        </w:rPr>
        <w:t xml:space="preserve">long it is before a repeat </w:t>
      </w:r>
      <w:r w:rsidR="00904D53">
        <w:rPr>
          <w:rFonts w:cs="Calibri"/>
          <w:sz w:val="32"/>
          <w:szCs w:val="32"/>
        </w:rPr>
        <w:t xml:space="preserve">is no longer a </w:t>
      </w:r>
      <w:r w:rsidR="00856BD3">
        <w:rPr>
          <w:rFonts w:cs="Calibri"/>
          <w:sz w:val="32"/>
          <w:szCs w:val="32"/>
        </w:rPr>
        <w:t xml:space="preserve">copy. </w:t>
      </w:r>
    </w:p>
    <w:p w14:paraId="7604D24B" w14:textId="77777777" w:rsidR="00AA60FC" w:rsidRDefault="00AA60FC" w:rsidP="005806E2">
      <w:pPr>
        <w:rPr>
          <w:rFonts w:cs="Calibri"/>
          <w:sz w:val="32"/>
          <w:szCs w:val="32"/>
        </w:rPr>
      </w:pPr>
    </w:p>
    <w:p w14:paraId="32047B16" w14:textId="77777777" w:rsidR="00AA60FC" w:rsidRPr="00AA60FC" w:rsidRDefault="00AA60FC" w:rsidP="005806E2">
      <w:pPr>
        <w:rPr>
          <w:rFonts w:cs="Calibri"/>
          <w:b/>
          <w:sz w:val="32"/>
          <w:szCs w:val="32"/>
          <w:u w:val="single"/>
        </w:rPr>
      </w:pPr>
      <w:r w:rsidRPr="00AA60FC">
        <w:rPr>
          <w:rFonts w:cs="Calibri"/>
          <w:b/>
          <w:sz w:val="32"/>
          <w:szCs w:val="32"/>
          <w:u w:val="single"/>
        </w:rPr>
        <w:t>Meaning?</w:t>
      </w:r>
    </w:p>
    <w:p w14:paraId="70F2CDEF" w14:textId="77777777" w:rsidR="00AA60FC" w:rsidRDefault="00AA60FC" w:rsidP="005806E2">
      <w:pPr>
        <w:rPr>
          <w:rFonts w:cs="Calibri"/>
          <w:sz w:val="32"/>
          <w:szCs w:val="32"/>
        </w:rPr>
      </w:pPr>
    </w:p>
    <w:p w14:paraId="2DD34CF3" w14:textId="77777777" w:rsidR="00856BD3" w:rsidRDefault="00856BD3" w:rsidP="005806E2">
      <w:pPr>
        <w:rPr>
          <w:rFonts w:cs="Calibri"/>
          <w:sz w:val="32"/>
          <w:szCs w:val="32"/>
        </w:rPr>
      </w:pPr>
      <w:r>
        <w:rPr>
          <w:rFonts w:cs="Calibri"/>
          <w:sz w:val="32"/>
          <w:szCs w:val="32"/>
        </w:rPr>
        <w:t>Medical records can</w:t>
      </w:r>
      <w:r w:rsidR="00AA60FC">
        <w:rPr>
          <w:rFonts w:cs="Calibri"/>
          <w:sz w:val="32"/>
          <w:szCs w:val="32"/>
        </w:rPr>
        <w:t xml:space="preserve"> potentially </w:t>
      </w:r>
      <w:r>
        <w:rPr>
          <w:rFonts w:cs="Calibri"/>
          <w:sz w:val="32"/>
          <w:szCs w:val="32"/>
        </w:rPr>
        <w:t xml:space="preserve">be added to every day, certainly the contents of many </w:t>
      </w:r>
      <w:r w:rsidR="004852F7">
        <w:rPr>
          <w:rFonts w:cs="Calibri"/>
          <w:sz w:val="32"/>
          <w:szCs w:val="32"/>
        </w:rPr>
        <w:t>patients’</w:t>
      </w:r>
      <w:r>
        <w:rPr>
          <w:rFonts w:cs="Calibri"/>
          <w:sz w:val="32"/>
          <w:szCs w:val="32"/>
        </w:rPr>
        <w:t xml:space="preserve"> records will have changed in 6 months time, so is a request for another SAR 3 months after a previous </w:t>
      </w:r>
      <w:r w:rsidR="00AA60FC">
        <w:rPr>
          <w:rFonts w:cs="Calibri"/>
          <w:sz w:val="32"/>
          <w:szCs w:val="32"/>
        </w:rPr>
        <w:t xml:space="preserve">likely to be a </w:t>
      </w:r>
      <w:r>
        <w:rPr>
          <w:rFonts w:cs="Calibri"/>
          <w:sz w:val="32"/>
          <w:szCs w:val="32"/>
        </w:rPr>
        <w:t>copy or a new SAR?</w:t>
      </w:r>
    </w:p>
    <w:p w14:paraId="1E3BDB53" w14:textId="77777777" w:rsidR="00856BD3" w:rsidRDefault="00856BD3" w:rsidP="005806E2">
      <w:pPr>
        <w:rPr>
          <w:rFonts w:cs="Calibri"/>
          <w:sz w:val="32"/>
          <w:szCs w:val="32"/>
        </w:rPr>
      </w:pPr>
    </w:p>
    <w:p w14:paraId="7959B8D8" w14:textId="77777777" w:rsidR="00856BD3" w:rsidRDefault="00856BD3" w:rsidP="005806E2">
      <w:pPr>
        <w:rPr>
          <w:rFonts w:cs="Calibri"/>
          <w:sz w:val="32"/>
          <w:szCs w:val="32"/>
        </w:rPr>
      </w:pPr>
      <w:r>
        <w:rPr>
          <w:rFonts w:cs="Calibri"/>
          <w:sz w:val="32"/>
          <w:szCs w:val="32"/>
        </w:rPr>
        <w:t xml:space="preserve">I would argue it depends on content. If the data being handed over to the DS is </w:t>
      </w:r>
      <w:r w:rsidR="004852F7">
        <w:rPr>
          <w:rFonts w:cs="Calibri"/>
          <w:sz w:val="32"/>
          <w:szCs w:val="32"/>
        </w:rPr>
        <w:t>essentially</w:t>
      </w:r>
      <w:r>
        <w:rPr>
          <w:rFonts w:cs="Calibri"/>
          <w:sz w:val="32"/>
          <w:szCs w:val="32"/>
        </w:rPr>
        <w:t xml:space="preserve"> </w:t>
      </w:r>
      <w:r w:rsidR="004852F7">
        <w:rPr>
          <w:rFonts w:cs="Calibri"/>
          <w:sz w:val="32"/>
          <w:szCs w:val="32"/>
        </w:rPr>
        <w:t>unchanged</w:t>
      </w:r>
      <w:r>
        <w:rPr>
          <w:rFonts w:cs="Calibri"/>
          <w:sz w:val="32"/>
          <w:szCs w:val="32"/>
        </w:rPr>
        <w:t xml:space="preserve">, even if its years later, it’s </w:t>
      </w:r>
      <w:r w:rsidR="004852F7">
        <w:rPr>
          <w:rFonts w:cs="Calibri"/>
          <w:sz w:val="32"/>
          <w:szCs w:val="32"/>
        </w:rPr>
        <w:t xml:space="preserve">still a </w:t>
      </w:r>
      <w:r>
        <w:rPr>
          <w:rFonts w:cs="Calibri"/>
          <w:sz w:val="32"/>
          <w:szCs w:val="32"/>
        </w:rPr>
        <w:t>copy.</w:t>
      </w:r>
      <w:r w:rsidR="00904D53">
        <w:rPr>
          <w:rFonts w:cs="Calibri"/>
          <w:sz w:val="32"/>
          <w:szCs w:val="32"/>
        </w:rPr>
        <w:t xml:space="preserve"> And thus chargeable.</w:t>
      </w:r>
    </w:p>
    <w:p w14:paraId="0215316E" w14:textId="77777777" w:rsidR="005806E2" w:rsidRPr="005806E2" w:rsidRDefault="005806E2" w:rsidP="00A74C29">
      <w:pPr>
        <w:rPr>
          <w:rFonts w:cs="Calibri"/>
          <w:sz w:val="32"/>
          <w:szCs w:val="32"/>
        </w:rPr>
      </w:pPr>
    </w:p>
    <w:p w14:paraId="0215FF4A" w14:textId="77777777" w:rsidR="005806E2" w:rsidRPr="005806E2" w:rsidRDefault="00856BD3" w:rsidP="00A74C29">
      <w:pPr>
        <w:rPr>
          <w:rFonts w:cs="Calibri"/>
          <w:b/>
          <w:sz w:val="32"/>
          <w:szCs w:val="32"/>
          <w:u w:val="single"/>
        </w:rPr>
      </w:pPr>
      <w:r>
        <w:rPr>
          <w:rFonts w:cs="Calibri"/>
          <w:b/>
          <w:sz w:val="32"/>
          <w:szCs w:val="32"/>
          <w:u w:val="single"/>
        </w:rPr>
        <w:t>Two</w:t>
      </w:r>
      <w:r w:rsidR="005806E2" w:rsidRPr="005806E2">
        <w:rPr>
          <w:rFonts w:cs="Calibri"/>
          <w:b/>
          <w:sz w:val="32"/>
          <w:szCs w:val="32"/>
          <w:u w:val="single"/>
        </w:rPr>
        <w:t xml:space="preserve">, </w:t>
      </w:r>
      <w:r w:rsidR="00AA60FC" w:rsidRPr="005806E2">
        <w:rPr>
          <w:rFonts w:cs="Calibri"/>
          <w:b/>
          <w:sz w:val="32"/>
          <w:szCs w:val="32"/>
          <w:u w:val="single"/>
        </w:rPr>
        <w:t>irksome</w:t>
      </w:r>
      <w:r w:rsidR="00AA60FC">
        <w:rPr>
          <w:rFonts w:cs="Calibri"/>
          <w:b/>
          <w:sz w:val="32"/>
          <w:szCs w:val="32"/>
          <w:u w:val="single"/>
        </w:rPr>
        <w:t>, vexatious</w:t>
      </w:r>
      <w:r w:rsidR="00AA60FC" w:rsidRPr="005806E2">
        <w:rPr>
          <w:rFonts w:cs="Calibri"/>
          <w:b/>
          <w:sz w:val="32"/>
          <w:szCs w:val="32"/>
          <w:u w:val="single"/>
        </w:rPr>
        <w:t xml:space="preserve"> or irritating requests</w:t>
      </w:r>
      <w:r w:rsidR="00AA60FC">
        <w:rPr>
          <w:rFonts w:cs="Calibri"/>
          <w:b/>
          <w:sz w:val="32"/>
          <w:szCs w:val="32"/>
          <w:u w:val="single"/>
        </w:rPr>
        <w:t>, (</w:t>
      </w:r>
      <w:r w:rsidR="00904D53">
        <w:rPr>
          <w:rFonts w:cs="Calibri"/>
          <w:b/>
          <w:sz w:val="32"/>
          <w:szCs w:val="32"/>
          <w:u w:val="single"/>
        </w:rPr>
        <w:t>Article 12, para</w:t>
      </w:r>
      <w:r w:rsidR="00AA60FC">
        <w:rPr>
          <w:rFonts w:cs="Calibri"/>
          <w:b/>
          <w:sz w:val="32"/>
          <w:szCs w:val="32"/>
          <w:u w:val="single"/>
        </w:rPr>
        <w:t>.</w:t>
      </w:r>
      <w:r w:rsidR="00904D53">
        <w:rPr>
          <w:rFonts w:cs="Calibri"/>
          <w:b/>
          <w:sz w:val="32"/>
          <w:szCs w:val="32"/>
          <w:u w:val="single"/>
        </w:rPr>
        <w:t xml:space="preserve"> 5</w:t>
      </w:r>
      <w:r w:rsidR="00AA60FC">
        <w:rPr>
          <w:rFonts w:cs="Calibri"/>
          <w:b/>
          <w:sz w:val="32"/>
          <w:szCs w:val="32"/>
          <w:u w:val="single"/>
        </w:rPr>
        <w:t>)</w:t>
      </w:r>
    </w:p>
    <w:p w14:paraId="20EF6173" w14:textId="77777777" w:rsidR="005806E2" w:rsidRPr="005806E2" w:rsidRDefault="005806E2" w:rsidP="00A74C29">
      <w:pPr>
        <w:rPr>
          <w:rFonts w:cs="Calibri"/>
          <w:sz w:val="32"/>
          <w:szCs w:val="32"/>
        </w:rPr>
      </w:pPr>
    </w:p>
    <w:p w14:paraId="1A7A3FA8" w14:textId="77777777" w:rsidR="00EA0035" w:rsidRDefault="00CB20B0" w:rsidP="00A74C29">
      <w:pPr>
        <w:rPr>
          <w:rFonts w:cs="Calibri"/>
          <w:sz w:val="32"/>
          <w:szCs w:val="32"/>
        </w:rPr>
      </w:pPr>
      <w:r w:rsidRPr="005806E2">
        <w:rPr>
          <w:rFonts w:cs="Calibri"/>
          <w:sz w:val="32"/>
          <w:szCs w:val="32"/>
        </w:rPr>
        <w:t>T</w:t>
      </w:r>
      <w:r w:rsidR="006D1165" w:rsidRPr="005806E2">
        <w:rPr>
          <w:rFonts w:cs="Calibri"/>
          <w:sz w:val="32"/>
          <w:szCs w:val="32"/>
        </w:rPr>
        <w:t xml:space="preserve">he </w:t>
      </w:r>
      <w:r w:rsidR="00904D53">
        <w:rPr>
          <w:rFonts w:cs="Calibri"/>
          <w:sz w:val="32"/>
          <w:szCs w:val="32"/>
        </w:rPr>
        <w:t xml:space="preserve">other chargeable circumstance arises from </w:t>
      </w:r>
      <w:r w:rsidR="006D1165" w:rsidRPr="005806E2">
        <w:rPr>
          <w:rFonts w:cs="Calibri"/>
          <w:sz w:val="32"/>
          <w:szCs w:val="32"/>
        </w:rPr>
        <w:t>Article 12</w:t>
      </w:r>
      <w:r w:rsidR="00904D53">
        <w:rPr>
          <w:rFonts w:cs="Calibri"/>
          <w:sz w:val="32"/>
          <w:szCs w:val="32"/>
        </w:rPr>
        <w:t xml:space="preserve">, para </w:t>
      </w:r>
      <w:r w:rsidR="006D1165" w:rsidRPr="005806E2">
        <w:rPr>
          <w:rFonts w:cs="Calibri"/>
          <w:sz w:val="32"/>
          <w:szCs w:val="32"/>
        </w:rPr>
        <w:t xml:space="preserve">(5) which reads; </w:t>
      </w:r>
    </w:p>
    <w:p w14:paraId="5EE8DBC8" w14:textId="77777777" w:rsidR="00D97435" w:rsidRPr="005806E2" w:rsidRDefault="00D97435" w:rsidP="00A74C29">
      <w:pPr>
        <w:rPr>
          <w:rFonts w:cs="Calibri"/>
          <w:sz w:val="32"/>
          <w:szCs w:val="32"/>
        </w:rPr>
      </w:pPr>
    </w:p>
    <w:p w14:paraId="26447A00" w14:textId="77777777" w:rsidR="006D1165" w:rsidRPr="00F41AAE" w:rsidRDefault="00CB20B0" w:rsidP="00EA0035">
      <w:pPr>
        <w:spacing w:before="120"/>
        <w:ind w:left="993" w:right="804"/>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w:t>
      </w:r>
      <w:r w:rsidR="006D1165" w:rsidRPr="00F41AAE">
        <w:rPr>
          <w:rFonts w:ascii="Times New Roman" w:eastAsia="Times New Roman" w:hAnsi="Times New Roman"/>
          <w:color w:val="000000"/>
          <w:sz w:val="24"/>
          <w:szCs w:val="24"/>
          <w:lang w:eastAsia="en-GB"/>
        </w:rPr>
        <w:t>.   Information provided under Articles 13 and 14 and any communication and any actions taken under Articles 15 to 22 and 34 shall be provided free of charge. Where requests from a data subject are manifestly unfounded or excessive, in particular because of their repetitive character, the controller may either:</w:t>
      </w:r>
    </w:p>
    <w:tbl>
      <w:tblPr>
        <w:tblW w:w="5000" w:type="pct"/>
        <w:tblCellSpacing w:w="0" w:type="dxa"/>
        <w:tblCellMar>
          <w:left w:w="0" w:type="dxa"/>
          <w:right w:w="0" w:type="dxa"/>
        </w:tblCellMar>
        <w:tblLook w:val="04A0" w:firstRow="1" w:lastRow="0" w:firstColumn="1" w:lastColumn="0" w:noHBand="0" w:noVBand="1"/>
      </w:tblPr>
      <w:tblGrid>
        <w:gridCol w:w="2064"/>
        <w:gridCol w:w="6962"/>
      </w:tblGrid>
      <w:tr w:rsidR="006D1165" w:rsidRPr="00F41AAE" w14:paraId="07D5CD64" w14:textId="77777777" w:rsidTr="005806E2">
        <w:trPr>
          <w:tblCellSpacing w:w="0" w:type="dxa"/>
        </w:trPr>
        <w:tc>
          <w:tcPr>
            <w:tcW w:w="0" w:type="auto"/>
          </w:tcPr>
          <w:p w14:paraId="2C090C85" w14:textId="77777777" w:rsidR="006D1165" w:rsidRPr="00F41AAE" w:rsidRDefault="006D1165" w:rsidP="00EA0035">
            <w:pPr>
              <w:spacing w:before="120"/>
              <w:ind w:left="993" w:right="804"/>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w:t>
            </w:r>
          </w:p>
        </w:tc>
        <w:tc>
          <w:tcPr>
            <w:tcW w:w="0" w:type="auto"/>
          </w:tcPr>
          <w:p w14:paraId="72321ED5" w14:textId="77777777" w:rsidR="006D1165" w:rsidRPr="00F41AAE" w:rsidRDefault="006D1165" w:rsidP="00EA0035">
            <w:pPr>
              <w:spacing w:before="120"/>
              <w:ind w:left="993" w:right="804"/>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charge a reasonable fee taking into account the administrative costs of providing the information or communication or taking the action requested; or</w:t>
            </w:r>
          </w:p>
        </w:tc>
      </w:tr>
    </w:tbl>
    <w:p w14:paraId="30351A1F" w14:textId="77777777" w:rsidR="006D1165" w:rsidRPr="00F41AAE" w:rsidRDefault="006D1165" w:rsidP="00EA0035">
      <w:pPr>
        <w:ind w:left="993" w:right="804"/>
        <w:rPr>
          <w:rFonts w:ascii="Times New Roman" w:eastAsia="Times New Roman" w:hAnsi="Times New Roman"/>
          <w:vanish/>
          <w:sz w:val="24"/>
          <w:szCs w:val="24"/>
          <w:lang w:eastAsia="en-GB"/>
        </w:rPr>
      </w:pPr>
    </w:p>
    <w:tbl>
      <w:tblPr>
        <w:tblW w:w="4767" w:type="pct"/>
        <w:tblCellSpacing w:w="0" w:type="dxa"/>
        <w:tblCellMar>
          <w:left w:w="0" w:type="dxa"/>
          <w:right w:w="0" w:type="dxa"/>
        </w:tblCellMar>
        <w:tblLook w:val="04A0" w:firstRow="1" w:lastRow="0" w:firstColumn="1" w:lastColumn="0" w:noHBand="0" w:noVBand="1"/>
      </w:tblPr>
      <w:tblGrid>
        <w:gridCol w:w="2834"/>
        <w:gridCol w:w="5771"/>
      </w:tblGrid>
      <w:tr w:rsidR="006D1165" w:rsidRPr="00F41AAE" w14:paraId="12748FE3" w14:textId="77777777" w:rsidTr="00CB20B0">
        <w:trPr>
          <w:tblCellSpacing w:w="0" w:type="dxa"/>
        </w:trPr>
        <w:tc>
          <w:tcPr>
            <w:tcW w:w="1647" w:type="pct"/>
          </w:tcPr>
          <w:p w14:paraId="0037D1DC" w14:textId="77777777" w:rsidR="006D1165" w:rsidRPr="00F41AAE" w:rsidRDefault="006D1165" w:rsidP="00EA0035">
            <w:pPr>
              <w:spacing w:before="120"/>
              <w:ind w:left="993" w:right="804"/>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(b)</w:t>
            </w:r>
          </w:p>
        </w:tc>
        <w:tc>
          <w:tcPr>
            <w:tcW w:w="0" w:type="auto"/>
          </w:tcPr>
          <w:p w14:paraId="787A9A0B" w14:textId="77777777" w:rsidR="006D1165" w:rsidRPr="00F41AAE" w:rsidRDefault="006D1165" w:rsidP="00EA0035">
            <w:pPr>
              <w:spacing w:before="120"/>
              <w:ind w:left="239" w:right="804"/>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refuse to act on the request.</w:t>
            </w:r>
          </w:p>
        </w:tc>
      </w:tr>
    </w:tbl>
    <w:p w14:paraId="1CC0AAF1" w14:textId="77777777" w:rsidR="006D1165" w:rsidRPr="00F41AAE" w:rsidRDefault="006D1165" w:rsidP="00EA0035">
      <w:pPr>
        <w:spacing w:before="120"/>
        <w:ind w:left="993" w:right="804"/>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The controller shall bear the burden of demonstrating the manifestly unfounded or excessive character of the request.</w:t>
      </w:r>
    </w:p>
    <w:p w14:paraId="266AB139" w14:textId="77777777" w:rsidR="006D1165" w:rsidRDefault="006D1165" w:rsidP="00443638">
      <w:pPr>
        <w:rPr>
          <w:rFonts w:cs="Calibri"/>
          <w:sz w:val="32"/>
          <w:szCs w:val="32"/>
        </w:rPr>
      </w:pPr>
    </w:p>
    <w:p w14:paraId="661DB118" w14:textId="77777777" w:rsidR="00A74C29" w:rsidRDefault="00CB20B0" w:rsidP="00443638">
      <w:pPr>
        <w:rPr>
          <w:rFonts w:cs="Calibri"/>
          <w:sz w:val="32"/>
          <w:szCs w:val="32"/>
        </w:rPr>
      </w:pPr>
      <w:r>
        <w:rPr>
          <w:rFonts w:cs="Calibri"/>
          <w:sz w:val="32"/>
          <w:szCs w:val="32"/>
        </w:rPr>
        <w:t xml:space="preserve">Now that paragraph </w:t>
      </w:r>
      <w:r w:rsidR="004852F7">
        <w:rPr>
          <w:rFonts w:cs="Calibri"/>
          <w:sz w:val="32"/>
          <w:szCs w:val="32"/>
        </w:rPr>
        <w:t xml:space="preserve">is a </w:t>
      </w:r>
      <w:r>
        <w:rPr>
          <w:rFonts w:cs="Calibri"/>
          <w:sz w:val="32"/>
          <w:szCs w:val="32"/>
        </w:rPr>
        <w:t xml:space="preserve">construct </w:t>
      </w:r>
      <w:r w:rsidR="004852F7">
        <w:rPr>
          <w:rFonts w:cs="Calibri"/>
          <w:sz w:val="32"/>
          <w:szCs w:val="32"/>
        </w:rPr>
        <w:t xml:space="preserve">of an opening sentence </w:t>
      </w:r>
      <w:r>
        <w:rPr>
          <w:rFonts w:cs="Calibri"/>
          <w:sz w:val="32"/>
          <w:szCs w:val="32"/>
        </w:rPr>
        <w:t>saying no charge which then ends</w:t>
      </w:r>
      <w:r w:rsidR="004852F7">
        <w:rPr>
          <w:rFonts w:cs="Calibri"/>
          <w:sz w:val="32"/>
          <w:szCs w:val="32"/>
        </w:rPr>
        <w:t xml:space="preserve"> abruptly</w:t>
      </w:r>
      <w:r>
        <w:rPr>
          <w:rFonts w:cs="Calibri"/>
          <w:sz w:val="32"/>
          <w:szCs w:val="32"/>
        </w:rPr>
        <w:t>. Its followed by a second sentence that starts “Where…”. The</w:t>
      </w:r>
      <w:r w:rsidR="00CA7DB0">
        <w:rPr>
          <w:rFonts w:cs="Calibri"/>
          <w:sz w:val="32"/>
          <w:szCs w:val="32"/>
        </w:rPr>
        <w:t xml:space="preserve">re’s a full stop between them and </w:t>
      </w:r>
      <w:r>
        <w:rPr>
          <w:rFonts w:cs="Calibri"/>
          <w:sz w:val="32"/>
          <w:szCs w:val="32"/>
        </w:rPr>
        <w:t>no direct link.</w:t>
      </w:r>
      <w:r w:rsidR="00A74C29">
        <w:rPr>
          <w:rFonts w:cs="Calibri"/>
          <w:sz w:val="32"/>
          <w:szCs w:val="32"/>
        </w:rPr>
        <w:t xml:space="preserve"> And if there’s no linkage someone somewhere will try to exploit it</w:t>
      </w:r>
      <w:r w:rsidR="00CA7DB0">
        <w:rPr>
          <w:rFonts w:cs="Calibri"/>
          <w:sz w:val="32"/>
          <w:szCs w:val="32"/>
        </w:rPr>
        <w:t>, getting everything for free</w:t>
      </w:r>
      <w:r w:rsidR="00A74C29">
        <w:rPr>
          <w:rFonts w:cs="Calibri"/>
          <w:sz w:val="32"/>
          <w:szCs w:val="32"/>
        </w:rPr>
        <w:t>.</w:t>
      </w:r>
      <w:r>
        <w:rPr>
          <w:rFonts w:cs="Calibri"/>
          <w:sz w:val="32"/>
          <w:szCs w:val="32"/>
        </w:rPr>
        <w:t xml:space="preserve"> </w:t>
      </w:r>
      <w:r w:rsidR="00A74C29">
        <w:rPr>
          <w:rFonts w:cs="Calibri"/>
          <w:sz w:val="32"/>
          <w:szCs w:val="32"/>
        </w:rPr>
        <w:t>Setting aside the fact the second sentence is clearly intended to qualify the first,</w:t>
      </w:r>
    </w:p>
    <w:p w14:paraId="1C1FDA4F" w14:textId="77777777" w:rsidR="00A74C29" w:rsidRDefault="00A74C29" w:rsidP="00443638">
      <w:pPr>
        <w:rPr>
          <w:rFonts w:cs="Calibri"/>
          <w:sz w:val="32"/>
          <w:szCs w:val="32"/>
        </w:rPr>
      </w:pPr>
    </w:p>
    <w:p w14:paraId="0D06D475" w14:textId="77777777" w:rsidR="00CB20B0" w:rsidRPr="00A74C29" w:rsidRDefault="00A74C29" w:rsidP="00443638">
      <w:pPr>
        <w:rPr>
          <w:rFonts w:cs="Calibri"/>
          <w:b/>
          <w:sz w:val="32"/>
          <w:szCs w:val="32"/>
          <w:u w:val="single"/>
        </w:rPr>
      </w:pPr>
      <w:r>
        <w:rPr>
          <w:rFonts w:cs="Calibri"/>
          <w:b/>
          <w:sz w:val="32"/>
          <w:szCs w:val="32"/>
          <w:u w:val="single"/>
        </w:rPr>
        <w:t>C</w:t>
      </w:r>
      <w:r w:rsidRPr="00A74C29">
        <w:rPr>
          <w:rFonts w:cs="Calibri"/>
          <w:b/>
          <w:sz w:val="32"/>
          <w:szCs w:val="32"/>
          <w:u w:val="single"/>
        </w:rPr>
        <w:t>an we find a more explicit link</w:t>
      </w:r>
      <w:r w:rsidR="004852F7">
        <w:rPr>
          <w:rFonts w:cs="Calibri"/>
          <w:b/>
          <w:sz w:val="32"/>
          <w:szCs w:val="32"/>
          <w:u w:val="single"/>
        </w:rPr>
        <w:t xml:space="preserve"> that can’t be disputed</w:t>
      </w:r>
      <w:r w:rsidRPr="00A74C29">
        <w:rPr>
          <w:rFonts w:cs="Calibri"/>
          <w:b/>
          <w:sz w:val="32"/>
          <w:szCs w:val="32"/>
          <w:u w:val="single"/>
        </w:rPr>
        <w:t>?</w:t>
      </w:r>
    </w:p>
    <w:p w14:paraId="5A11321E" w14:textId="77777777" w:rsidR="00CB20B0" w:rsidRDefault="00CB20B0" w:rsidP="00443638">
      <w:pPr>
        <w:rPr>
          <w:rFonts w:cs="Calibri"/>
          <w:sz w:val="32"/>
          <w:szCs w:val="32"/>
        </w:rPr>
      </w:pPr>
    </w:p>
    <w:p w14:paraId="60BC89C7" w14:textId="77777777" w:rsidR="006D1165" w:rsidRDefault="00A74C29" w:rsidP="00443638">
      <w:pPr>
        <w:rPr>
          <w:rFonts w:cs="Calibri"/>
          <w:sz w:val="32"/>
          <w:szCs w:val="32"/>
        </w:rPr>
      </w:pPr>
      <w:r>
        <w:rPr>
          <w:rFonts w:cs="Calibri"/>
          <w:sz w:val="32"/>
          <w:szCs w:val="32"/>
        </w:rPr>
        <w:t xml:space="preserve">Oh yes we can. </w:t>
      </w:r>
      <w:r w:rsidR="00CB20B0">
        <w:rPr>
          <w:rFonts w:cs="Calibri"/>
          <w:sz w:val="32"/>
          <w:szCs w:val="32"/>
        </w:rPr>
        <w:t>T</w:t>
      </w:r>
      <w:r w:rsidR="006D1165">
        <w:rPr>
          <w:rFonts w:cs="Calibri"/>
          <w:sz w:val="32"/>
          <w:szCs w:val="32"/>
        </w:rPr>
        <w:t xml:space="preserve">he wording from the </w:t>
      </w:r>
      <w:hyperlink r:id="rId5" w:history="1">
        <w:r w:rsidR="006D1165" w:rsidRPr="00A74C29">
          <w:rPr>
            <w:rStyle w:val="Hyperlink"/>
            <w:rFonts w:cs="Calibri"/>
            <w:sz w:val="32"/>
            <w:szCs w:val="32"/>
          </w:rPr>
          <w:t>official guidance</w:t>
        </w:r>
      </w:hyperlink>
      <w:r w:rsidR="006D1165">
        <w:rPr>
          <w:rFonts w:cs="Calibri"/>
          <w:sz w:val="32"/>
          <w:szCs w:val="32"/>
        </w:rPr>
        <w:t xml:space="preserve"> reads</w:t>
      </w:r>
      <w:r w:rsidR="00EA0035">
        <w:rPr>
          <w:rFonts w:cs="Calibri"/>
          <w:sz w:val="32"/>
          <w:szCs w:val="32"/>
        </w:rPr>
        <w:t>;</w:t>
      </w:r>
      <w:r w:rsidR="006D1165">
        <w:rPr>
          <w:rFonts w:cs="Calibri"/>
          <w:sz w:val="32"/>
          <w:szCs w:val="32"/>
        </w:rPr>
        <w:t xml:space="preserve"> </w:t>
      </w:r>
      <w:r w:rsidR="00240890">
        <w:rPr>
          <w:rFonts w:cs="Calibri"/>
          <w:sz w:val="32"/>
          <w:szCs w:val="32"/>
        </w:rPr>
        <w:t>“</w:t>
      </w:r>
      <w:r w:rsidR="00240890" w:rsidRPr="00240890">
        <w:rPr>
          <w:rFonts w:cs="Calibri"/>
          <w:sz w:val="32"/>
          <w:szCs w:val="32"/>
        </w:rPr>
        <w:t>Article 12 prohibits the data controller from charging a fee for the provision of the personal data, unless the data controller can demonstrate that the requests are manifestly unfounded or excessive, “in particular because of their repetitive character”.</w:t>
      </w:r>
      <w:r w:rsidR="00240890">
        <w:rPr>
          <w:rFonts w:cs="Calibri"/>
          <w:sz w:val="32"/>
          <w:szCs w:val="32"/>
        </w:rPr>
        <w:t>”</w:t>
      </w:r>
    </w:p>
    <w:p w14:paraId="3BFE922D" w14:textId="77777777" w:rsidR="001759E6" w:rsidRDefault="001759E6" w:rsidP="00443638">
      <w:pPr>
        <w:rPr>
          <w:rFonts w:cs="Calibri"/>
          <w:sz w:val="32"/>
          <w:szCs w:val="32"/>
        </w:rPr>
      </w:pPr>
    </w:p>
    <w:p w14:paraId="303A9DFE" w14:textId="77777777" w:rsidR="00D97435" w:rsidRDefault="00904D53" w:rsidP="00443638">
      <w:pPr>
        <w:rPr>
          <w:rFonts w:cs="Calibri"/>
          <w:sz w:val="32"/>
          <w:szCs w:val="32"/>
        </w:rPr>
      </w:pPr>
      <w:r>
        <w:rPr>
          <w:rFonts w:cs="Calibri"/>
          <w:sz w:val="32"/>
          <w:szCs w:val="32"/>
        </w:rPr>
        <w:t xml:space="preserve">The wording of the official guidance brings together the </w:t>
      </w:r>
      <w:r w:rsidR="00CA7DB0">
        <w:rPr>
          <w:rFonts w:cs="Calibri"/>
          <w:sz w:val="32"/>
          <w:szCs w:val="32"/>
        </w:rPr>
        <w:t>“first free” element</w:t>
      </w:r>
      <w:r>
        <w:rPr>
          <w:rFonts w:cs="Calibri"/>
          <w:sz w:val="32"/>
          <w:szCs w:val="32"/>
        </w:rPr>
        <w:t xml:space="preserve"> of para</w:t>
      </w:r>
      <w:r w:rsidR="00EB2938">
        <w:rPr>
          <w:rFonts w:cs="Calibri"/>
          <w:sz w:val="32"/>
          <w:szCs w:val="32"/>
        </w:rPr>
        <w:t>.</w:t>
      </w:r>
      <w:r>
        <w:rPr>
          <w:rFonts w:cs="Calibri"/>
          <w:sz w:val="32"/>
          <w:szCs w:val="32"/>
        </w:rPr>
        <w:t xml:space="preserve"> 3) </w:t>
      </w:r>
      <w:r w:rsidR="00EB2938">
        <w:rPr>
          <w:rFonts w:cs="Calibri"/>
          <w:sz w:val="32"/>
          <w:szCs w:val="32"/>
        </w:rPr>
        <w:t xml:space="preserve">and merges it with </w:t>
      </w:r>
      <w:r>
        <w:rPr>
          <w:rFonts w:cs="Calibri"/>
          <w:sz w:val="32"/>
          <w:szCs w:val="32"/>
        </w:rPr>
        <w:t>the para</w:t>
      </w:r>
      <w:r w:rsidR="00EB2938">
        <w:rPr>
          <w:rFonts w:cs="Calibri"/>
          <w:sz w:val="32"/>
          <w:szCs w:val="32"/>
        </w:rPr>
        <w:t>.</w:t>
      </w:r>
      <w:r>
        <w:rPr>
          <w:rFonts w:cs="Calibri"/>
          <w:sz w:val="32"/>
          <w:szCs w:val="32"/>
        </w:rPr>
        <w:t xml:space="preserve"> 5)</w:t>
      </w:r>
      <w:r w:rsidR="00EB2938">
        <w:rPr>
          <w:rFonts w:cs="Calibri"/>
          <w:sz w:val="32"/>
          <w:szCs w:val="32"/>
        </w:rPr>
        <w:t>,</w:t>
      </w:r>
      <w:r>
        <w:rPr>
          <w:rFonts w:cs="Calibri"/>
          <w:sz w:val="32"/>
          <w:szCs w:val="32"/>
        </w:rPr>
        <w:t xml:space="preserve"> irksome and irritating. The </w:t>
      </w:r>
      <w:r w:rsidR="005806E2">
        <w:rPr>
          <w:rFonts w:cs="Calibri"/>
          <w:sz w:val="32"/>
          <w:szCs w:val="32"/>
        </w:rPr>
        <w:t xml:space="preserve">wording </w:t>
      </w:r>
      <w:r w:rsidR="00EB2938">
        <w:rPr>
          <w:rFonts w:cs="Calibri"/>
          <w:sz w:val="32"/>
          <w:szCs w:val="32"/>
        </w:rPr>
        <w:t xml:space="preserve">makes it plain any </w:t>
      </w:r>
      <w:r w:rsidR="00A74C29">
        <w:rPr>
          <w:rFonts w:cs="Calibri"/>
          <w:sz w:val="32"/>
          <w:szCs w:val="32"/>
        </w:rPr>
        <w:t>excessive or unfounded SAR</w:t>
      </w:r>
      <w:r w:rsidR="005806E2">
        <w:rPr>
          <w:rFonts w:cs="Calibri"/>
          <w:sz w:val="32"/>
          <w:szCs w:val="32"/>
        </w:rPr>
        <w:t xml:space="preserve"> </w:t>
      </w:r>
      <w:r w:rsidR="00EB2938">
        <w:rPr>
          <w:rFonts w:cs="Calibri"/>
          <w:sz w:val="32"/>
          <w:szCs w:val="32"/>
        </w:rPr>
        <w:t xml:space="preserve">can be charged for. </w:t>
      </w:r>
      <w:r w:rsidR="00D97435">
        <w:rPr>
          <w:rFonts w:cs="Calibri"/>
          <w:sz w:val="32"/>
          <w:szCs w:val="32"/>
        </w:rPr>
        <w:t>Full stop</w:t>
      </w:r>
      <w:r w:rsidR="00EB2938">
        <w:rPr>
          <w:rFonts w:cs="Calibri"/>
          <w:sz w:val="32"/>
          <w:szCs w:val="32"/>
        </w:rPr>
        <w:t xml:space="preserve">, period, end off, job done. </w:t>
      </w:r>
    </w:p>
    <w:p w14:paraId="53CBE45A" w14:textId="77777777" w:rsidR="00D97435" w:rsidRDefault="00D97435" w:rsidP="00443638">
      <w:pPr>
        <w:rPr>
          <w:rFonts w:cs="Calibri"/>
          <w:sz w:val="32"/>
          <w:szCs w:val="32"/>
        </w:rPr>
      </w:pPr>
    </w:p>
    <w:p w14:paraId="50042AAF" w14:textId="77777777" w:rsidR="00EB2938" w:rsidRDefault="00EB2938" w:rsidP="00443638">
      <w:pPr>
        <w:rPr>
          <w:rFonts w:cs="Calibri"/>
          <w:sz w:val="32"/>
          <w:szCs w:val="32"/>
        </w:rPr>
      </w:pPr>
      <w:r>
        <w:rPr>
          <w:rFonts w:cs="Calibri"/>
          <w:sz w:val="32"/>
          <w:szCs w:val="32"/>
        </w:rPr>
        <w:t xml:space="preserve">Any excessive or unfounded request, even if it’s a first request. </w:t>
      </w:r>
    </w:p>
    <w:p w14:paraId="4AE65B2F" w14:textId="77777777" w:rsidR="00EB2938" w:rsidRDefault="00EB2938" w:rsidP="00443638">
      <w:pPr>
        <w:rPr>
          <w:rFonts w:cs="Calibri"/>
          <w:sz w:val="32"/>
          <w:szCs w:val="32"/>
        </w:rPr>
      </w:pPr>
    </w:p>
    <w:p w14:paraId="0244EB3A" w14:textId="77777777" w:rsidR="00240890" w:rsidRPr="00D97435" w:rsidRDefault="00EB2938" w:rsidP="00443638">
      <w:pPr>
        <w:rPr>
          <w:rFonts w:cs="Calibri"/>
          <w:b/>
          <w:sz w:val="32"/>
          <w:szCs w:val="32"/>
          <w:u w:val="single"/>
        </w:rPr>
      </w:pPr>
      <w:r w:rsidRPr="00D97435">
        <w:rPr>
          <w:rFonts w:cs="Calibri"/>
          <w:b/>
          <w:sz w:val="32"/>
          <w:szCs w:val="32"/>
          <w:u w:val="single"/>
        </w:rPr>
        <w:t>To summarise</w:t>
      </w:r>
    </w:p>
    <w:p w14:paraId="2900B8AF" w14:textId="77777777" w:rsidR="00D97435" w:rsidRDefault="00D97435" w:rsidP="00443638">
      <w:pPr>
        <w:rPr>
          <w:rFonts w:cs="Calibri"/>
          <w:sz w:val="32"/>
          <w:szCs w:val="32"/>
        </w:rPr>
      </w:pPr>
    </w:p>
    <w:p w14:paraId="1BB9D64A" w14:textId="77777777" w:rsidR="00240890" w:rsidRDefault="00EB2938" w:rsidP="00443638">
      <w:pPr>
        <w:rPr>
          <w:rFonts w:cs="Calibri"/>
          <w:sz w:val="32"/>
          <w:szCs w:val="32"/>
        </w:rPr>
      </w:pPr>
      <w:r>
        <w:rPr>
          <w:rFonts w:cs="Calibri"/>
          <w:sz w:val="32"/>
          <w:szCs w:val="32"/>
        </w:rPr>
        <w:t xml:space="preserve">GDPR allows </w:t>
      </w:r>
      <w:r w:rsidR="00240890">
        <w:rPr>
          <w:rFonts w:cs="Calibri"/>
          <w:sz w:val="32"/>
          <w:szCs w:val="32"/>
        </w:rPr>
        <w:t xml:space="preserve">DCs </w:t>
      </w:r>
      <w:r>
        <w:rPr>
          <w:rFonts w:cs="Calibri"/>
          <w:sz w:val="32"/>
          <w:szCs w:val="32"/>
        </w:rPr>
        <w:t xml:space="preserve">to charge for copies of previously provided </w:t>
      </w:r>
      <w:r w:rsidR="00240890">
        <w:rPr>
          <w:rFonts w:cs="Calibri"/>
          <w:sz w:val="32"/>
          <w:szCs w:val="32"/>
        </w:rPr>
        <w:t xml:space="preserve">SARs or TSARs </w:t>
      </w:r>
      <w:r>
        <w:rPr>
          <w:rFonts w:cs="Calibri"/>
          <w:sz w:val="32"/>
          <w:szCs w:val="32"/>
        </w:rPr>
        <w:t>and any that are</w:t>
      </w:r>
      <w:r w:rsidR="00240890">
        <w:rPr>
          <w:rFonts w:cs="Calibri"/>
          <w:sz w:val="32"/>
          <w:szCs w:val="32"/>
        </w:rPr>
        <w:t xml:space="preserve"> unfounded or excessive</w:t>
      </w:r>
      <w:r w:rsidR="00CB20B0">
        <w:rPr>
          <w:rFonts w:cs="Calibri"/>
          <w:sz w:val="32"/>
          <w:szCs w:val="32"/>
        </w:rPr>
        <w:t xml:space="preserve">, </w:t>
      </w:r>
      <w:r w:rsidR="00904D53">
        <w:rPr>
          <w:rFonts w:cs="Calibri"/>
          <w:sz w:val="32"/>
          <w:szCs w:val="32"/>
        </w:rPr>
        <w:t xml:space="preserve">and if they are </w:t>
      </w:r>
      <w:r>
        <w:rPr>
          <w:rFonts w:cs="Calibri"/>
          <w:sz w:val="32"/>
          <w:szCs w:val="32"/>
        </w:rPr>
        <w:t xml:space="preserve">judged to be </w:t>
      </w:r>
      <w:r w:rsidR="00904D53">
        <w:rPr>
          <w:rFonts w:cs="Calibri"/>
          <w:sz w:val="32"/>
          <w:szCs w:val="32"/>
        </w:rPr>
        <w:t>unfounded or excessive, you can charge for even the first request, let alone copies</w:t>
      </w:r>
      <w:r w:rsidR="00C936AD">
        <w:rPr>
          <w:rFonts w:cs="Calibri"/>
          <w:sz w:val="32"/>
          <w:szCs w:val="32"/>
        </w:rPr>
        <w:t xml:space="preserve"> (surely copies of unfounded and excessive would attract a healthy premium!)</w:t>
      </w:r>
      <w:r w:rsidR="00904D53">
        <w:rPr>
          <w:rFonts w:cs="Calibri"/>
          <w:sz w:val="32"/>
          <w:szCs w:val="32"/>
        </w:rPr>
        <w:t>.</w:t>
      </w:r>
      <w:r w:rsidR="00240890">
        <w:rPr>
          <w:rFonts w:cs="Calibri"/>
          <w:sz w:val="32"/>
          <w:szCs w:val="32"/>
        </w:rPr>
        <w:t xml:space="preserve"> </w:t>
      </w:r>
    </w:p>
    <w:p w14:paraId="435E8EA7" w14:textId="77777777" w:rsidR="00EA0035" w:rsidRDefault="00EA0035" w:rsidP="00443638">
      <w:pPr>
        <w:rPr>
          <w:rFonts w:cs="Calibri"/>
          <w:sz w:val="32"/>
          <w:szCs w:val="32"/>
        </w:rPr>
      </w:pPr>
    </w:p>
    <w:p w14:paraId="1D93783C" w14:textId="77777777" w:rsidR="00EA0035" w:rsidRPr="00173D56" w:rsidRDefault="00A74C29" w:rsidP="00443638">
      <w:pPr>
        <w:rPr>
          <w:rFonts w:cs="Calibri"/>
          <w:b/>
          <w:sz w:val="44"/>
          <w:szCs w:val="44"/>
        </w:rPr>
      </w:pPr>
      <w:r w:rsidRPr="00173D56">
        <w:rPr>
          <w:rFonts w:cs="Calibri"/>
          <w:b/>
          <w:sz w:val="44"/>
          <w:szCs w:val="44"/>
        </w:rPr>
        <w:t xml:space="preserve">Statement: </w:t>
      </w:r>
      <w:r w:rsidR="00EA0035" w:rsidRPr="00173D56">
        <w:rPr>
          <w:rFonts w:cs="Calibri"/>
          <w:b/>
          <w:sz w:val="44"/>
          <w:szCs w:val="44"/>
        </w:rPr>
        <w:t>It is not true that you cannot ever charge for a SAR or TSAR.</w:t>
      </w:r>
    </w:p>
    <w:p w14:paraId="3D7847ED" w14:textId="77777777" w:rsidR="00EA0035" w:rsidRDefault="00EA0035" w:rsidP="00443638">
      <w:pPr>
        <w:rPr>
          <w:rFonts w:cs="Calibri"/>
          <w:sz w:val="32"/>
          <w:szCs w:val="32"/>
        </w:rPr>
      </w:pPr>
    </w:p>
    <w:p w14:paraId="4A6C166E" w14:textId="77777777" w:rsidR="00A74C29" w:rsidRPr="00E36667" w:rsidRDefault="00C936AD" w:rsidP="00A74C29">
      <w:pPr>
        <w:rPr>
          <w:rFonts w:eastAsia="Times New Roman" w:cs="Calibri"/>
          <w:b/>
          <w:color w:val="000000"/>
          <w:sz w:val="32"/>
          <w:szCs w:val="32"/>
          <w:u w:val="single"/>
          <w:lang w:eastAsia="en-GB"/>
        </w:rPr>
      </w:pPr>
      <w:r w:rsidRPr="00EB2938">
        <w:rPr>
          <w:rFonts w:cs="Calibri"/>
          <w:b/>
          <w:sz w:val="32"/>
          <w:szCs w:val="32"/>
          <w:u w:val="single"/>
        </w:rPr>
        <w:t>But it gets better</w:t>
      </w:r>
      <w:r w:rsidR="00D97435">
        <w:rPr>
          <w:rFonts w:cs="Calibri"/>
          <w:b/>
          <w:sz w:val="32"/>
          <w:szCs w:val="32"/>
          <w:u w:val="single"/>
        </w:rPr>
        <w:t>,</w:t>
      </w:r>
      <w:r w:rsidR="00EB2938">
        <w:rPr>
          <w:rFonts w:cs="Calibri"/>
          <w:b/>
          <w:sz w:val="32"/>
          <w:szCs w:val="32"/>
          <w:u w:val="single"/>
        </w:rPr>
        <w:t xml:space="preserve"> 5 c</w:t>
      </w:r>
      <w:r w:rsidR="00A74C29" w:rsidRPr="00EB2938">
        <w:rPr>
          <w:rFonts w:eastAsia="Times New Roman" w:cs="Calibri"/>
          <w:b/>
          <w:color w:val="000000"/>
          <w:sz w:val="32"/>
          <w:szCs w:val="32"/>
          <w:u w:val="single"/>
          <w:lang w:eastAsia="en-GB"/>
        </w:rPr>
        <w:t xml:space="preserve">harges </w:t>
      </w:r>
      <w:r w:rsidR="00EB2938">
        <w:rPr>
          <w:rFonts w:eastAsia="Times New Roman" w:cs="Calibri"/>
          <w:b/>
          <w:color w:val="000000"/>
          <w:sz w:val="32"/>
          <w:szCs w:val="32"/>
          <w:u w:val="single"/>
          <w:lang w:eastAsia="en-GB"/>
        </w:rPr>
        <w:t>for u</w:t>
      </w:r>
      <w:r w:rsidR="00A74C29" w:rsidRPr="00EB2938">
        <w:rPr>
          <w:rFonts w:eastAsia="Times New Roman" w:cs="Calibri"/>
          <w:b/>
          <w:color w:val="000000"/>
          <w:sz w:val="32"/>
          <w:szCs w:val="32"/>
          <w:u w:val="single"/>
          <w:lang w:eastAsia="en-GB"/>
        </w:rPr>
        <w:t>nfounded or</w:t>
      </w:r>
      <w:r w:rsidR="00A74C29" w:rsidRPr="00E36667">
        <w:rPr>
          <w:rFonts w:eastAsia="Times New Roman" w:cs="Calibri"/>
          <w:b/>
          <w:color w:val="000000"/>
          <w:sz w:val="32"/>
          <w:szCs w:val="32"/>
          <w:u w:val="single"/>
          <w:lang w:eastAsia="en-GB"/>
        </w:rPr>
        <w:t xml:space="preserve"> excessive</w:t>
      </w:r>
      <w:r>
        <w:rPr>
          <w:rFonts w:eastAsia="Times New Roman" w:cs="Calibri"/>
          <w:b/>
          <w:color w:val="000000"/>
          <w:sz w:val="32"/>
          <w:szCs w:val="32"/>
          <w:u w:val="single"/>
          <w:lang w:eastAsia="en-GB"/>
        </w:rPr>
        <w:t xml:space="preserve"> </w:t>
      </w:r>
      <w:r w:rsidR="00D97435">
        <w:rPr>
          <w:rFonts w:eastAsia="Times New Roman" w:cs="Calibri"/>
          <w:b/>
          <w:color w:val="000000"/>
          <w:sz w:val="32"/>
          <w:szCs w:val="32"/>
          <w:u w:val="single"/>
          <w:lang w:eastAsia="en-GB"/>
        </w:rPr>
        <w:t xml:space="preserve">requests under para. 5) </w:t>
      </w:r>
      <w:r w:rsidR="00EB2938">
        <w:rPr>
          <w:rFonts w:eastAsia="Times New Roman" w:cs="Calibri"/>
          <w:b/>
          <w:color w:val="000000"/>
          <w:sz w:val="32"/>
          <w:szCs w:val="32"/>
          <w:u w:val="single"/>
          <w:lang w:eastAsia="en-GB"/>
        </w:rPr>
        <w:t xml:space="preserve">are </w:t>
      </w:r>
      <w:r>
        <w:rPr>
          <w:rFonts w:eastAsia="Times New Roman" w:cs="Calibri"/>
          <w:b/>
          <w:color w:val="000000"/>
          <w:sz w:val="32"/>
          <w:szCs w:val="32"/>
          <w:u w:val="single"/>
          <w:lang w:eastAsia="en-GB"/>
        </w:rPr>
        <w:t xml:space="preserve">more </w:t>
      </w:r>
      <w:r w:rsidR="00EB2938">
        <w:rPr>
          <w:rFonts w:eastAsia="Times New Roman" w:cs="Calibri"/>
          <w:b/>
          <w:color w:val="000000"/>
          <w:sz w:val="32"/>
          <w:szCs w:val="32"/>
          <w:u w:val="single"/>
          <w:lang w:eastAsia="en-GB"/>
        </w:rPr>
        <w:t xml:space="preserve">flexible </w:t>
      </w:r>
      <w:r>
        <w:rPr>
          <w:rFonts w:eastAsia="Times New Roman" w:cs="Calibri"/>
          <w:b/>
          <w:color w:val="000000"/>
          <w:sz w:val="32"/>
          <w:szCs w:val="32"/>
          <w:u w:val="single"/>
          <w:lang w:eastAsia="en-GB"/>
        </w:rPr>
        <w:t xml:space="preserve">than </w:t>
      </w:r>
      <w:r w:rsidR="00EB2938">
        <w:rPr>
          <w:rFonts w:eastAsia="Times New Roman" w:cs="Calibri"/>
          <w:b/>
          <w:color w:val="000000"/>
          <w:sz w:val="32"/>
          <w:szCs w:val="32"/>
          <w:u w:val="single"/>
          <w:lang w:eastAsia="en-GB"/>
        </w:rPr>
        <w:t>t</w:t>
      </w:r>
      <w:r>
        <w:rPr>
          <w:rFonts w:eastAsia="Times New Roman" w:cs="Calibri"/>
          <w:b/>
          <w:color w:val="000000"/>
          <w:sz w:val="32"/>
          <w:szCs w:val="32"/>
          <w:u w:val="single"/>
          <w:lang w:eastAsia="en-GB"/>
        </w:rPr>
        <w:t xml:space="preserve">he para 3) </w:t>
      </w:r>
      <w:r w:rsidR="00EB2938">
        <w:rPr>
          <w:rFonts w:eastAsia="Times New Roman" w:cs="Calibri"/>
          <w:b/>
          <w:color w:val="000000"/>
          <w:sz w:val="32"/>
          <w:szCs w:val="32"/>
          <w:u w:val="single"/>
          <w:lang w:eastAsia="en-GB"/>
        </w:rPr>
        <w:t>“</w:t>
      </w:r>
      <w:r>
        <w:rPr>
          <w:rFonts w:eastAsia="Times New Roman" w:cs="Calibri"/>
          <w:b/>
          <w:color w:val="000000"/>
          <w:sz w:val="32"/>
          <w:szCs w:val="32"/>
          <w:u w:val="single"/>
          <w:lang w:eastAsia="en-GB"/>
        </w:rPr>
        <w:t>administrative costs</w:t>
      </w:r>
      <w:r w:rsidR="00EB2938">
        <w:rPr>
          <w:rFonts w:eastAsia="Times New Roman" w:cs="Calibri"/>
          <w:b/>
          <w:color w:val="000000"/>
          <w:sz w:val="32"/>
          <w:szCs w:val="32"/>
          <w:u w:val="single"/>
          <w:lang w:eastAsia="en-GB"/>
        </w:rPr>
        <w:t>”</w:t>
      </w:r>
    </w:p>
    <w:p w14:paraId="2FA550CE" w14:textId="77777777" w:rsidR="00A74C29" w:rsidRDefault="00A74C29" w:rsidP="00A74C29">
      <w:pPr>
        <w:rPr>
          <w:rFonts w:eastAsia="Times New Roman" w:cs="Calibri"/>
          <w:color w:val="000000"/>
          <w:sz w:val="32"/>
          <w:szCs w:val="32"/>
          <w:lang w:eastAsia="en-GB"/>
        </w:rPr>
      </w:pPr>
    </w:p>
    <w:p w14:paraId="7419B651" w14:textId="77777777" w:rsidR="00A74C29" w:rsidRPr="00567526" w:rsidRDefault="00A74C29" w:rsidP="00A74C29">
      <w:pPr>
        <w:rPr>
          <w:rFonts w:eastAsia="Times New Roman" w:cs="Calibri"/>
          <w:color w:val="000000"/>
          <w:sz w:val="32"/>
          <w:szCs w:val="32"/>
          <w:lang w:eastAsia="en-GB"/>
        </w:rPr>
      </w:pPr>
      <w:r w:rsidRPr="00567526">
        <w:rPr>
          <w:rFonts w:cs="Calibri"/>
          <w:sz w:val="32"/>
          <w:szCs w:val="32"/>
        </w:rPr>
        <w:t xml:space="preserve">Article 12(5) </w:t>
      </w:r>
      <w:r w:rsidR="00173D56">
        <w:rPr>
          <w:rFonts w:cs="Calibri"/>
          <w:sz w:val="32"/>
          <w:szCs w:val="32"/>
        </w:rPr>
        <w:t xml:space="preserve">offers GPs several options. They can </w:t>
      </w:r>
      <w:r>
        <w:rPr>
          <w:rFonts w:cs="Calibri"/>
          <w:sz w:val="32"/>
          <w:szCs w:val="32"/>
        </w:rPr>
        <w:t xml:space="preserve">comply </w:t>
      </w:r>
      <w:r w:rsidR="00D97435">
        <w:rPr>
          <w:rFonts w:cs="Calibri"/>
          <w:sz w:val="32"/>
          <w:szCs w:val="32"/>
        </w:rPr>
        <w:t xml:space="preserve">with the request, produce the report </w:t>
      </w:r>
      <w:r>
        <w:rPr>
          <w:rFonts w:cs="Calibri"/>
          <w:sz w:val="32"/>
          <w:szCs w:val="32"/>
        </w:rPr>
        <w:t>but charge for the inconvenience</w:t>
      </w:r>
      <w:r w:rsidR="00173D56">
        <w:rPr>
          <w:rFonts w:cs="Calibri"/>
          <w:sz w:val="32"/>
          <w:szCs w:val="32"/>
        </w:rPr>
        <w:t xml:space="preserve"> (Article 12(5)(a). </w:t>
      </w:r>
      <w:r>
        <w:rPr>
          <w:rFonts w:eastAsia="Times New Roman" w:cs="Calibri"/>
          <w:color w:val="000000"/>
          <w:sz w:val="32"/>
          <w:szCs w:val="32"/>
          <w:lang w:eastAsia="en-GB"/>
        </w:rPr>
        <w:t xml:space="preserve">If you decide to </w:t>
      </w:r>
      <w:r w:rsidRPr="00567526">
        <w:rPr>
          <w:rFonts w:eastAsia="Times New Roman" w:cs="Calibri"/>
          <w:color w:val="000000"/>
          <w:sz w:val="32"/>
          <w:szCs w:val="32"/>
          <w:lang w:eastAsia="en-GB"/>
        </w:rPr>
        <w:t xml:space="preserve">comply with the request, </w:t>
      </w:r>
      <w:r>
        <w:rPr>
          <w:rFonts w:eastAsia="Times New Roman" w:cs="Calibri"/>
          <w:color w:val="000000"/>
          <w:sz w:val="32"/>
          <w:szCs w:val="32"/>
          <w:lang w:eastAsia="en-GB"/>
        </w:rPr>
        <w:t>you</w:t>
      </w:r>
      <w:r w:rsidRPr="00567526">
        <w:rPr>
          <w:rFonts w:eastAsia="Times New Roman" w:cs="Calibri"/>
          <w:color w:val="000000"/>
          <w:sz w:val="32"/>
          <w:szCs w:val="32"/>
          <w:lang w:eastAsia="en-GB"/>
        </w:rPr>
        <w:t xml:space="preserve"> may then charge for either;</w:t>
      </w:r>
    </w:p>
    <w:p w14:paraId="19742635" w14:textId="77777777" w:rsidR="00A74C29" w:rsidRPr="00567526" w:rsidRDefault="00A74C29" w:rsidP="00A74C29">
      <w:pPr>
        <w:rPr>
          <w:rFonts w:eastAsia="Times New Roman" w:cs="Calibri"/>
          <w:vanish/>
          <w:sz w:val="32"/>
          <w:szCs w:val="32"/>
          <w:lang w:eastAsia="en-GB"/>
        </w:rPr>
      </w:pPr>
    </w:p>
    <w:p w14:paraId="17EA7E92" w14:textId="77777777" w:rsidR="00A74C29" w:rsidRPr="00567526" w:rsidRDefault="00A74C29" w:rsidP="00A74C29">
      <w:pPr>
        <w:rPr>
          <w:rFonts w:cs="Calibri"/>
          <w:sz w:val="32"/>
          <w:szCs w:val="32"/>
        </w:rPr>
      </w:pPr>
    </w:p>
    <w:p w14:paraId="1A066D2D" w14:textId="77777777" w:rsidR="00A74C29" w:rsidRPr="00567526" w:rsidRDefault="00A74C29" w:rsidP="00A74C29">
      <w:pPr>
        <w:numPr>
          <w:ilvl w:val="0"/>
          <w:numId w:val="4"/>
        </w:numPr>
        <w:rPr>
          <w:rFonts w:cs="Calibri"/>
          <w:sz w:val="32"/>
          <w:szCs w:val="32"/>
        </w:rPr>
      </w:pPr>
      <w:r w:rsidRPr="00567526">
        <w:rPr>
          <w:rFonts w:cs="Calibri"/>
          <w:sz w:val="32"/>
          <w:szCs w:val="32"/>
        </w:rPr>
        <w:t xml:space="preserve">”the administrative costs” </w:t>
      </w:r>
    </w:p>
    <w:p w14:paraId="03970B6D" w14:textId="77777777" w:rsidR="00A74C29" w:rsidRPr="00567526" w:rsidRDefault="00A74C29" w:rsidP="00A74C29">
      <w:pPr>
        <w:ind w:left="2160"/>
        <w:rPr>
          <w:rFonts w:cs="Calibri"/>
          <w:sz w:val="32"/>
          <w:szCs w:val="32"/>
        </w:rPr>
      </w:pPr>
      <w:r w:rsidRPr="00567526">
        <w:rPr>
          <w:rFonts w:cs="Calibri"/>
          <w:sz w:val="32"/>
          <w:szCs w:val="32"/>
        </w:rPr>
        <w:t>or</w:t>
      </w:r>
    </w:p>
    <w:p w14:paraId="549E114A" w14:textId="77777777" w:rsidR="00A74C29" w:rsidRPr="00567526" w:rsidRDefault="00A74C29" w:rsidP="00A74C29">
      <w:pPr>
        <w:ind w:left="1440"/>
        <w:rPr>
          <w:rFonts w:cs="Calibri"/>
          <w:sz w:val="32"/>
          <w:szCs w:val="32"/>
        </w:rPr>
      </w:pPr>
      <w:r w:rsidRPr="00567526">
        <w:rPr>
          <w:rFonts w:cs="Calibri"/>
          <w:sz w:val="32"/>
          <w:szCs w:val="32"/>
        </w:rPr>
        <w:t xml:space="preserve">2) “providing the information” </w:t>
      </w:r>
    </w:p>
    <w:p w14:paraId="4F0A22AB" w14:textId="77777777" w:rsidR="00A74C29" w:rsidRPr="00567526" w:rsidRDefault="00A74C29" w:rsidP="00A74C29">
      <w:pPr>
        <w:ind w:left="2160"/>
        <w:rPr>
          <w:rFonts w:cs="Calibri"/>
          <w:sz w:val="32"/>
          <w:szCs w:val="32"/>
        </w:rPr>
      </w:pPr>
      <w:r w:rsidRPr="00567526">
        <w:rPr>
          <w:rFonts w:cs="Calibri"/>
          <w:sz w:val="32"/>
          <w:szCs w:val="32"/>
        </w:rPr>
        <w:t>or</w:t>
      </w:r>
    </w:p>
    <w:p w14:paraId="52E0CB58" w14:textId="77777777" w:rsidR="00A74C29" w:rsidRPr="00567526" w:rsidRDefault="00A74C29" w:rsidP="00A74C29">
      <w:pPr>
        <w:ind w:left="1440"/>
        <w:rPr>
          <w:rFonts w:cs="Calibri"/>
          <w:sz w:val="32"/>
          <w:szCs w:val="32"/>
        </w:rPr>
      </w:pPr>
      <w:r w:rsidRPr="00567526">
        <w:rPr>
          <w:rFonts w:cs="Calibri"/>
          <w:sz w:val="32"/>
          <w:szCs w:val="32"/>
        </w:rPr>
        <w:t>3) “communicating the data</w:t>
      </w:r>
      <w:r w:rsidR="00D97435">
        <w:rPr>
          <w:rFonts w:cs="Calibri"/>
          <w:sz w:val="32"/>
          <w:szCs w:val="32"/>
        </w:rPr>
        <w:t>”</w:t>
      </w:r>
      <w:r w:rsidRPr="00567526">
        <w:rPr>
          <w:rFonts w:cs="Calibri"/>
          <w:sz w:val="32"/>
          <w:szCs w:val="32"/>
        </w:rPr>
        <w:t xml:space="preserve"> </w:t>
      </w:r>
    </w:p>
    <w:p w14:paraId="14E5C4EA" w14:textId="77777777" w:rsidR="00A74C29" w:rsidRPr="00567526" w:rsidRDefault="00A74C29" w:rsidP="00A74C29">
      <w:pPr>
        <w:ind w:left="2160"/>
        <w:rPr>
          <w:rFonts w:cs="Calibri"/>
          <w:sz w:val="32"/>
          <w:szCs w:val="32"/>
        </w:rPr>
      </w:pPr>
      <w:r w:rsidRPr="00567526">
        <w:rPr>
          <w:rFonts w:cs="Calibri"/>
          <w:sz w:val="32"/>
          <w:szCs w:val="32"/>
        </w:rPr>
        <w:t>or</w:t>
      </w:r>
    </w:p>
    <w:p w14:paraId="4DC00598" w14:textId="77777777" w:rsidR="00A74C29" w:rsidRPr="00567526" w:rsidRDefault="00A74C29" w:rsidP="00A74C29">
      <w:pPr>
        <w:ind w:left="1440"/>
        <w:rPr>
          <w:rFonts w:cs="Calibri"/>
          <w:sz w:val="32"/>
          <w:szCs w:val="32"/>
        </w:rPr>
      </w:pPr>
      <w:r w:rsidRPr="00567526">
        <w:rPr>
          <w:rFonts w:cs="Calibri"/>
          <w:sz w:val="32"/>
          <w:szCs w:val="32"/>
        </w:rPr>
        <w:t xml:space="preserve">4) “taking the action requested.”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A74C29" w:rsidRPr="00567526" w14:paraId="346CC982" w14:textId="77777777" w:rsidTr="005806E2">
        <w:trPr>
          <w:tblCellSpacing w:w="0" w:type="dxa"/>
        </w:trPr>
        <w:tc>
          <w:tcPr>
            <w:tcW w:w="0" w:type="auto"/>
          </w:tcPr>
          <w:p w14:paraId="5AA38816" w14:textId="77777777" w:rsidR="00A74C29" w:rsidRPr="00567526" w:rsidRDefault="00A74C29" w:rsidP="005806E2">
            <w:pPr>
              <w:spacing w:before="120"/>
              <w:jc w:val="both"/>
              <w:rPr>
                <w:rFonts w:eastAsia="Times New Roman" w:cs="Calibri"/>
                <w:color w:val="000000"/>
                <w:sz w:val="32"/>
                <w:szCs w:val="32"/>
                <w:lang w:eastAsia="en-GB"/>
              </w:rPr>
            </w:pPr>
          </w:p>
        </w:tc>
        <w:tc>
          <w:tcPr>
            <w:tcW w:w="0" w:type="auto"/>
          </w:tcPr>
          <w:p w14:paraId="4EA89519" w14:textId="77777777" w:rsidR="00A74C29" w:rsidRPr="00567526" w:rsidRDefault="00A74C29" w:rsidP="005806E2">
            <w:pPr>
              <w:spacing w:before="120"/>
              <w:jc w:val="both"/>
              <w:rPr>
                <w:rFonts w:eastAsia="Times New Roman" w:cs="Calibri"/>
                <w:color w:val="000000"/>
                <w:sz w:val="32"/>
                <w:szCs w:val="32"/>
                <w:lang w:eastAsia="en-GB"/>
              </w:rPr>
            </w:pPr>
          </w:p>
        </w:tc>
      </w:tr>
    </w:tbl>
    <w:p w14:paraId="4C7B4982" w14:textId="77777777" w:rsidR="00173D56" w:rsidRDefault="00A74C29" w:rsidP="00A74C29">
      <w:pPr>
        <w:spacing w:before="120"/>
        <w:rPr>
          <w:rFonts w:eastAsia="Times New Roman" w:cs="Calibri"/>
          <w:color w:val="000000"/>
          <w:sz w:val="32"/>
          <w:szCs w:val="32"/>
          <w:lang w:eastAsia="en-GB"/>
        </w:rPr>
      </w:pPr>
      <w:r w:rsidRPr="00567526">
        <w:rPr>
          <w:rFonts w:cs="Calibri"/>
          <w:sz w:val="32"/>
          <w:szCs w:val="32"/>
        </w:rPr>
        <w:t xml:space="preserve">So, the fee </w:t>
      </w:r>
      <w:r w:rsidR="00173D56">
        <w:rPr>
          <w:rFonts w:cs="Calibri"/>
          <w:sz w:val="32"/>
          <w:szCs w:val="32"/>
        </w:rPr>
        <w:t xml:space="preserve">under 4) above </w:t>
      </w:r>
      <w:r w:rsidRPr="00567526">
        <w:rPr>
          <w:rFonts w:cs="Calibri"/>
          <w:sz w:val="32"/>
          <w:szCs w:val="32"/>
        </w:rPr>
        <w:t>might involve the cost of professional time to redact records, for example.</w:t>
      </w:r>
      <w:r w:rsidRPr="00567526">
        <w:rPr>
          <w:rFonts w:eastAsia="Times New Roman" w:cs="Calibri"/>
          <w:color w:val="000000"/>
          <w:sz w:val="32"/>
          <w:szCs w:val="32"/>
          <w:lang w:eastAsia="en-GB"/>
        </w:rPr>
        <w:t xml:space="preserve"> </w:t>
      </w:r>
    </w:p>
    <w:p w14:paraId="30BFCC6E" w14:textId="77777777" w:rsidR="00173D56" w:rsidRDefault="00173D56" w:rsidP="00A74C29">
      <w:pPr>
        <w:spacing w:before="120"/>
        <w:rPr>
          <w:rFonts w:eastAsia="Times New Roman" w:cs="Calibri"/>
          <w:color w:val="000000"/>
          <w:sz w:val="32"/>
          <w:szCs w:val="32"/>
          <w:lang w:eastAsia="en-GB"/>
        </w:rPr>
      </w:pPr>
    </w:p>
    <w:p w14:paraId="49126762" w14:textId="77777777" w:rsidR="00173D56" w:rsidRPr="00173D56" w:rsidRDefault="00173D56" w:rsidP="00A74C29">
      <w:pPr>
        <w:spacing w:before="120"/>
        <w:rPr>
          <w:rFonts w:eastAsia="Times New Roman" w:cs="Calibri"/>
          <w:b/>
          <w:color w:val="000000"/>
          <w:sz w:val="32"/>
          <w:szCs w:val="32"/>
          <w:u w:val="single"/>
          <w:lang w:eastAsia="en-GB"/>
        </w:rPr>
      </w:pPr>
      <w:r w:rsidRPr="00173D56">
        <w:rPr>
          <w:rFonts w:eastAsia="Times New Roman" w:cs="Calibri"/>
          <w:b/>
          <w:color w:val="000000"/>
          <w:sz w:val="32"/>
          <w:szCs w:val="32"/>
          <w:u w:val="single"/>
          <w:lang w:eastAsia="en-GB"/>
        </w:rPr>
        <w:t xml:space="preserve">Alternatively </w:t>
      </w:r>
    </w:p>
    <w:p w14:paraId="6215091E" w14:textId="77777777" w:rsidR="00173D56" w:rsidRDefault="00173D56" w:rsidP="00A74C29">
      <w:pPr>
        <w:spacing w:before="120"/>
        <w:rPr>
          <w:rFonts w:eastAsia="Times New Roman" w:cs="Calibri"/>
          <w:color w:val="000000"/>
          <w:sz w:val="32"/>
          <w:szCs w:val="32"/>
          <w:lang w:eastAsia="en-GB"/>
        </w:rPr>
      </w:pPr>
    </w:p>
    <w:p w14:paraId="5C0BC107" w14:textId="77777777" w:rsidR="00173D56" w:rsidRDefault="00173D56" w:rsidP="00A74C29">
      <w:pPr>
        <w:spacing w:before="120"/>
        <w:rPr>
          <w:rFonts w:eastAsia="Times New Roman" w:cs="Calibri"/>
          <w:color w:val="000000"/>
          <w:sz w:val="32"/>
          <w:szCs w:val="32"/>
          <w:lang w:eastAsia="en-GB"/>
        </w:rPr>
      </w:pPr>
      <w:r>
        <w:rPr>
          <w:rFonts w:eastAsia="Times New Roman" w:cs="Calibri"/>
          <w:color w:val="000000"/>
          <w:sz w:val="32"/>
          <w:szCs w:val="32"/>
          <w:lang w:eastAsia="en-GB"/>
        </w:rPr>
        <w:t xml:space="preserve">Article 12(5)(b) allows the GP to simply refuse to comply with manifestly </w:t>
      </w:r>
      <w:r w:rsidRPr="00567526">
        <w:rPr>
          <w:rFonts w:eastAsia="Times New Roman" w:cs="Calibri"/>
          <w:color w:val="000000"/>
          <w:sz w:val="32"/>
          <w:szCs w:val="32"/>
          <w:lang w:eastAsia="en-GB"/>
        </w:rPr>
        <w:t>unfounded or excessive</w:t>
      </w:r>
      <w:r>
        <w:rPr>
          <w:rFonts w:eastAsia="Times New Roman" w:cs="Calibri"/>
          <w:color w:val="000000"/>
          <w:sz w:val="32"/>
          <w:szCs w:val="32"/>
          <w:lang w:eastAsia="en-GB"/>
        </w:rPr>
        <w:t xml:space="preserve"> requests. </w:t>
      </w:r>
    </w:p>
    <w:p w14:paraId="49F9106B" w14:textId="77777777" w:rsidR="00173D56" w:rsidRDefault="00173D56" w:rsidP="00A74C29">
      <w:pPr>
        <w:spacing w:before="120"/>
        <w:rPr>
          <w:rFonts w:eastAsia="Times New Roman" w:cs="Calibri"/>
          <w:color w:val="000000"/>
          <w:sz w:val="32"/>
          <w:szCs w:val="32"/>
          <w:lang w:eastAsia="en-GB"/>
        </w:rPr>
      </w:pPr>
    </w:p>
    <w:p w14:paraId="72F7C1C5" w14:textId="77777777" w:rsidR="00A74C29" w:rsidRPr="00173D56" w:rsidRDefault="00A74C29" w:rsidP="00A74C29">
      <w:pPr>
        <w:spacing w:before="120"/>
        <w:rPr>
          <w:rFonts w:eastAsia="Times New Roman" w:cs="Calibri"/>
          <w:b/>
          <w:color w:val="000000"/>
          <w:sz w:val="32"/>
          <w:szCs w:val="32"/>
          <w:u w:val="single"/>
          <w:lang w:eastAsia="en-GB"/>
        </w:rPr>
      </w:pPr>
      <w:r w:rsidRPr="00173D56">
        <w:rPr>
          <w:rFonts w:eastAsia="Times New Roman" w:cs="Calibri"/>
          <w:b/>
          <w:color w:val="000000"/>
          <w:sz w:val="32"/>
          <w:szCs w:val="32"/>
          <w:u w:val="single"/>
          <w:lang w:eastAsia="en-GB"/>
        </w:rPr>
        <w:t xml:space="preserve">The DC shall bear the burden of demonstrating the manifestly </w:t>
      </w:r>
      <w:r w:rsidR="00173D56" w:rsidRPr="00173D56">
        <w:rPr>
          <w:rFonts w:eastAsia="Times New Roman" w:cs="Calibri"/>
          <w:b/>
          <w:color w:val="000000"/>
          <w:sz w:val="32"/>
          <w:szCs w:val="32"/>
          <w:u w:val="single"/>
          <w:lang w:eastAsia="en-GB"/>
        </w:rPr>
        <w:t xml:space="preserve">unfounded or excessive </w:t>
      </w:r>
      <w:r w:rsidRPr="00173D56">
        <w:rPr>
          <w:rFonts w:eastAsia="Times New Roman" w:cs="Calibri"/>
          <w:b/>
          <w:color w:val="000000"/>
          <w:sz w:val="32"/>
          <w:szCs w:val="32"/>
          <w:u w:val="single"/>
          <w:lang w:eastAsia="en-GB"/>
        </w:rPr>
        <w:t>character of the request.</w:t>
      </w:r>
    </w:p>
    <w:p w14:paraId="25D187CC" w14:textId="77777777" w:rsidR="00173D56" w:rsidRDefault="00173D56" w:rsidP="00A74C29">
      <w:pPr>
        <w:rPr>
          <w:rFonts w:eastAsia="Times New Roman" w:cs="Calibri"/>
          <w:color w:val="000000"/>
          <w:sz w:val="32"/>
          <w:szCs w:val="32"/>
          <w:lang w:eastAsia="en-GB"/>
        </w:rPr>
      </w:pPr>
    </w:p>
    <w:p w14:paraId="72535FDE" w14:textId="77777777" w:rsidR="00173D56" w:rsidRDefault="00173D56" w:rsidP="00173D56">
      <w:pPr>
        <w:rPr>
          <w:rFonts w:cs="Calibri"/>
          <w:sz w:val="32"/>
          <w:szCs w:val="32"/>
        </w:rPr>
      </w:pPr>
      <w:r w:rsidRPr="00567526">
        <w:rPr>
          <w:rFonts w:cs="Calibri"/>
          <w:sz w:val="32"/>
          <w:szCs w:val="32"/>
        </w:rPr>
        <w:t xml:space="preserve">Neither </w:t>
      </w:r>
      <w:r>
        <w:rPr>
          <w:rFonts w:cs="Calibri"/>
          <w:sz w:val="32"/>
          <w:szCs w:val="32"/>
        </w:rPr>
        <w:t xml:space="preserve">“unfounded” nor “excessive” </w:t>
      </w:r>
      <w:r w:rsidRPr="00567526">
        <w:rPr>
          <w:rFonts w:cs="Calibri"/>
          <w:sz w:val="32"/>
          <w:szCs w:val="32"/>
        </w:rPr>
        <w:t>are defined in the GDPR nor its guidance so interpretation is going to have to be an application of the reasonableness factor. GDPR does provide some clue in describing “</w:t>
      </w:r>
      <w:r w:rsidRPr="00567526">
        <w:rPr>
          <w:rFonts w:eastAsia="Times New Roman" w:cs="Calibri"/>
          <w:color w:val="000000"/>
          <w:sz w:val="32"/>
          <w:szCs w:val="32"/>
          <w:lang w:eastAsia="en-GB"/>
        </w:rPr>
        <w:t>repetitive character” as being a qualifying criterion</w:t>
      </w:r>
      <w:r>
        <w:rPr>
          <w:rFonts w:eastAsia="Times New Roman" w:cs="Calibri"/>
          <w:color w:val="000000"/>
          <w:sz w:val="32"/>
          <w:szCs w:val="32"/>
          <w:lang w:eastAsia="en-GB"/>
        </w:rPr>
        <w:t xml:space="preserve"> for excess.</w:t>
      </w:r>
    </w:p>
    <w:p w14:paraId="0391C1C9" w14:textId="77777777" w:rsidR="00173D56" w:rsidRDefault="00173D56" w:rsidP="00A74C29">
      <w:pPr>
        <w:rPr>
          <w:rFonts w:eastAsia="Times New Roman" w:cs="Calibri"/>
          <w:color w:val="000000"/>
          <w:sz w:val="32"/>
          <w:szCs w:val="32"/>
          <w:lang w:eastAsia="en-GB"/>
        </w:rPr>
      </w:pPr>
    </w:p>
    <w:p w14:paraId="09C3F27F" w14:textId="77777777" w:rsidR="00BE2008" w:rsidRPr="00BE2008" w:rsidRDefault="00BE2008" w:rsidP="00A74C29">
      <w:pPr>
        <w:rPr>
          <w:rFonts w:eastAsia="Times New Roman" w:cs="Calibri"/>
          <w:b/>
          <w:color w:val="000000"/>
          <w:sz w:val="32"/>
          <w:szCs w:val="32"/>
          <w:u w:val="single"/>
          <w:lang w:eastAsia="en-GB"/>
        </w:rPr>
      </w:pPr>
      <w:r w:rsidRPr="00BE2008">
        <w:rPr>
          <w:rFonts w:eastAsia="Times New Roman" w:cs="Calibri"/>
          <w:b/>
          <w:color w:val="000000"/>
          <w:sz w:val="32"/>
          <w:szCs w:val="32"/>
          <w:u w:val="single"/>
          <w:lang w:eastAsia="en-GB"/>
        </w:rPr>
        <w:t xml:space="preserve">And it won’t </w:t>
      </w:r>
      <w:r w:rsidR="00D97435">
        <w:rPr>
          <w:rFonts w:eastAsia="Times New Roman" w:cs="Calibri"/>
          <w:b/>
          <w:color w:val="000000"/>
          <w:sz w:val="32"/>
          <w:szCs w:val="32"/>
          <w:u w:val="single"/>
          <w:lang w:eastAsia="en-GB"/>
        </w:rPr>
        <w:t xml:space="preserve">only </w:t>
      </w:r>
      <w:r w:rsidRPr="00BE2008">
        <w:rPr>
          <w:rFonts w:eastAsia="Times New Roman" w:cs="Calibri"/>
          <w:b/>
          <w:color w:val="000000"/>
          <w:sz w:val="32"/>
          <w:szCs w:val="32"/>
          <w:u w:val="single"/>
          <w:lang w:eastAsia="en-GB"/>
        </w:rPr>
        <w:t>be hard nosed ambulance chasers</w:t>
      </w:r>
    </w:p>
    <w:p w14:paraId="3D3AA7A3" w14:textId="77777777" w:rsidR="00BE2008" w:rsidRDefault="00BE2008" w:rsidP="00A74C29">
      <w:pPr>
        <w:rPr>
          <w:rFonts w:eastAsia="Times New Roman" w:cs="Calibri"/>
          <w:color w:val="000000"/>
          <w:sz w:val="32"/>
          <w:szCs w:val="32"/>
          <w:lang w:eastAsia="en-GB"/>
        </w:rPr>
      </w:pPr>
    </w:p>
    <w:p w14:paraId="0E3DE638" w14:textId="77777777" w:rsidR="00173D56" w:rsidRDefault="00BE2008" w:rsidP="00A74C29">
      <w:pPr>
        <w:rPr>
          <w:rFonts w:eastAsia="Times New Roman" w:cs="Calibri"/>
          <w:color w:val="000000"/>
          <w:sz w:val="32"/>
          <w:szCs w:val="32"/>
          <w:lang w:eastAsia="en-GB"/>
        </w:rPr>
      </w:pPr>
      <w:r>
        <w:rPr>
          <w:rFonts w:eastAsia="Times New Roman" w:cs="Calibri"/>
          <w:color w:val="000000"/>
          <w:sz w:val="32"/>
          <w:szCs w:val="32"/>
          <w:lang w:eastAsia="en-GB"/>
        </w:rPr>
        <w:t>W</w:t>
      </w:r>
      <w:r w:rsidR="00173D56">
        <w:rPr>
          <w:rFonts w:eastAsia="Times New Roman" w:cs="Calibri"/>
          <w:color w:val="000000"/>
          <w:sz w:val="32"/>
          <w:szCs w:val="32"/>
          <w:lang w:eastAsia="en-GB"/>
        </w:rPr>
        <w:t>e once had a patient with 17 Lloyd George envelopes that weighed in excess of 1</w:t>
      </w:r>
      <w:r w:rsidR="00441488">
        <w:rPr>
          <w:rFonts w:eastAsia="Times New Roman" w:cs="Calibri"/>
          <w:color w:val="000000"/>
          <w:sz w:val="32"/>
          <w:szCs w:val="32"/>
          <w:lang w:eastAsia="en-GB"/>
        </w:rPr>
        <w:t>2</w:t>
      </w:r>
      <w:r w:rsidR="00173D56">
        <w:rPr>
          <w:rFonts w:eastAsia="Times New Roman" w:cs="Calibri"/>
          <w:color w:val="000000"/>
          <w:sz w:val="32"/>
          <w:szCs w:val="32"/>
          <w:lang w:eastAsia="en-GB"/>
        </w:rPr>
        <w:t xml:space="preserve"> kg</w:t>
      </w:r>
      <w:r>
        <w:rPr>
          <w:rFonts w:eastAsia="Times New Roman" w:cs="Calibri"/>
          <w:color w:val="000000"/>
          <w:sz w:val="32"/>
          <w:szCs w:val="32"/>
          <w:lang w:eastAsia="en-GB"/>
        </w:rPr>
        <w:t>.</w:t>
      </w:r>
      <w:r w:rsidR="00173D56">
        <w:rPr>
          <w:rFonts w:eastAsia="Times New Roman" w:cs="Calibri"/>
          <w:color w:val="000000"/>
          <w:sz w:val="32"/>
          <w:szCs w:val="32"/>
          <w:lang w:eastAsia="en-GB"/>
        </w:rPr>
        <w:t xml:space="preserve"> I can see that even a simple plain honest request for copies of those </w:t>
      </w:r>
      <w:r>
        <w:rPr>
          <w:rFonts w:eastAsia="Times New Roman" w:cs="Calibri"/>
          <w:color w:val="000000"/>
          <w:sz w:val="32"/>
          <w:szCs w:val="32"/>
          <w:lang w:eastAsia="en-GB"/>
        </w:rPr>
        <w:t xml:space="preserve">records </w:t>
      </w:r>
      <w:r w:rsidR="00173D56">
        <w:rPr>
          <w:rFonts w:eastAsia="Times New Roman" w:cs="Calibri"/>
          <w:color w:val="000000"/>
          <w:sz w:val="32"/>
          <w:szCs w:val="32"/>
          <w:lang w:eastAsia="en-GB"/>
        </w:rPr>
        <w:t>could be argued to be excessive</w:t>
      </w:r>
      <w:r>
        <w:rPr>
          <w:rFonts w:eastAsia="Times New Roman" w:cs="Calibri"/>
          <w:color w:val="000000"/>
          <w:sz w:val="32"/>
          <w:szCs w:val="32"/>
          <w:lang w:eastAsia="en-GB"/>
        </w:rPr>
        <w:t>, i</w:t>
      </w:r>
      <w:r w:rsidR="00173D56">
        <w:rPr>
          <w:rFonts w:eastAsia="Times New Roman" w:cs="Calibri"/>
          <w:color w:val="000000"/>
          <w:sz w:val="32"/>
          <w:szCs w:val="32"/>
          <w:lang w:eastAsia="en-GB"/>
        </w:rPr>
        <w:t xml:space="preserve">n other words chargeable. This would not be against a background of complaint, investigation or dissatisfaction, it might be your sweetest most favourite patient simply wanting copies of all </w:t>
      </w:r>
      <w:r>
        <w:rPr>
          <w:rFonts w:eastAsia="Times New Roman" w:cs="Calibri"/>
          <w:color w:val="000000"/>
          <w:sz w:val="32"/>
          <w:szCs w:val="32"/>
          <w:lang w:eastAsia="en-GB"/>
        </w:rPr>
        <w:t xml:space="preserve">their </w:t>
      </w:r>
      <w:r w:rsidR="00173D56">
        <w:rPr>
          <w:rFonts w:eastAsia="Times New Roman" w:cs="Calibri"/>
          <w:color w:val="000000"/>
          <w:sz w:val="32"/>
          <w:szCs w:val="32"/>
          <w:lang w:eastAsia="en-GB"/>
        </w:rPr>
        <w:t xml:space="preserve">records, but nonetheless the work involved in copying and redacting </w:t>
      </w:r>
      <w:r w:rsidR="00D97435">
        <w:rPr>
          <w:rFonts w:eastAsia="Times New Roman" w:cs="Calibri"/>
          <w:color w:val="000000"/>
          <w:sz w:val="32"/>
          <w:szCs w:val="32"/>
          <w:lang w:eastAsia="en-GB"/>
        </w:rPr>
        <w:t xml:space="preserve">the 2,100 pages in </w:t>
      </w:r>
      <w:r w:rsidR="00173D56">
        <w:rPr>
          <w:rFonts w:eastAsia="Times New Roman" w:cs="Calibri"/>
          <w:color w:val="000000"/>
          <w:sz w:val="32"/>
          <w:szCs w:val="32"/>
          <w:lang w:eastAsia="en-GB"/>
        </w:rPr>
        <w:t xml:space="preserve">those 17 </w:t>
      </w:r>
      <w:r>
        <w:rPr>
          <w:rFonts w:eastAsia="Times New Roman" w:cs="Calibri"/>
          <w:color w:val="000000"/>
          <w:sz w:val="32"/>
          <w:szCs w:val="32"/>
          <w:lang w:eastAsia="en-GB"/>
        </w:rPr>
        <w:t>envelopes should certainly be recompensed.</w:t>
      </w:r>
    </w:p>
    <w:p w14:paraId="77B5A930" w14:textId="77777777" w:rsidR="00BE2008" w:rsidRDefault="00BE2008" w:rsidP="00A74C29">
      <w:pPr>
        <w:rPr>
          <w:rFonts w:eastAsia="Times New Roman" w:cs="Calibri"/>
          <w:color w:val="000000"/>
          <w:sz w:val="32"/>
          <w:szCs w:val="32"/>
          <w:lang w:eastAsia="en-GB"/>
        </w:rPr>
      </w:pPr>
    </w:p>
    <w:p w14:paraId="0F289525" w14:textId="77777777" w:rsidR="00BE2008" w:rsidRPr="00BE2008" w:rsidRDefault="00BE2008" w:rsidP="00A74C29">
      <w:pPr>
        <w:rPr>
          <w:rFonts w:eastAsia="Times New Roman" w:cs="Calibri"/>
          <w:b/>
          <w:color w:val="000000"/>
          <w:sz w:val="32"/>
          <w:szCs w:val="32"/>
          <w:u w:val="single"/>
          <w:lang w:eastAsia="en-GB"/>
        </w:rPr>
      </w:pPr>
      <w:r w:rsidRPr="00BE2008">
        <w:rPr>
          <w:rFonts w:eastAsia="Times New Roman" w:cs="Calibri"/>
          <w:b/>
          <w:color w:val="000000"/>
          <w:sz w:val="32"/>
          <w:szCs w:val="32"/>
          <w:u w:val="single"/>
          <w:lang w:eastAsia="en-GB"/>
        </w:rPr>
        <w:t>But bear in mind</w:t>
      </w:r>
    </w:p>
    <w:p w14:paraId="22EE65EA" w14:textId="77777777" w:rsidR="00BE2008" w:rsidRDefault="00BE2008" w:rsidP="00A74C29">
      <w:pPr>
        <w:rPr>
          <w:rFonts w:eastAsia="Times New Roman" w:cs="Calibri"/>
          <w:color w:val="000000"/>
          <w:sz w:val="32"/>
          <w:szCs w:val="32"/>
          <w:lang w:eastAsia="en-GB"/>
        </w:rPr>
      </w:pPr>
    </w:p>
    <w:p w14:paraId="2EC881B3" w14:textId="77777777" w:rsidR="00A74C29" w:rsidRDefault="00A74C29" w:rsidP="00A74C29">
      <w:pPr>
        <w:rPr>
          <w:rFonts w:eastAsia="Times New Roman" w:cs="Calibri"/>
          <w:color w:val="000000"/>
          <w:sz w:val="32"/>
          <w:szCs w:val="32"/>
          <w:lang w:eastAsia="en-GB"/>
        </w:rPr>
      </w:pPr>
      <w:r>
        <w:rPr>
          <w:rFonts w:eastAsia="Times New Roman" w:cs="Calibri"/>
          <w:color w:val="000000"/>
          <w:sz w:val="32"/>
          <w:szCs w:val="32"/>
          <w:lang w:eastAsia="en-GB"/>
        </w:rPr>
        <w:t xml:space="preserve">If you invoke </w:t>
      </w:r>
      <w:r w:rsidR="00D97435">
        <w:rPr>
          <w:rFonts w:eastAsia="Times New Roman" w:cs="Calibri"/>
          <w:color w:val="000000"/>
          <w:sz w:val="32"/>
          <w:szCs w:val="32"/>
          <w:lang w:eastAsia="en-GB"/>
        </w:rPr>
        <w:t xml:space="preserve">anything under Article 14(5), </w:t>
      </w:r>
      <w:r w:rsidR="00BE2008">
        <w:rPr>
          <w:rFonts w:eastAsia="Times New Roman" w:cs="Calibri"/>
          <w:color w:val="000000"/>
          <w:sz w:val="32"/>
          <w:szCs w:val="32"/>
          <w:lang w:eastAsia="en-GB"/>
        </w:rPr>
        <w:t xml:space="preserve">either </w:t>
      </w:r>
      <w:r>
        <w:rPr>
          <w:rFonts w:eastAsia="Times New Roman" w:cs="Calibri"/>
          <w:color w:val="000000"/>
          <w:sz w:val="32"/>
          <w:szCs w:val="32"/>
          <w:lang w:eastAsia="en-GB"/>
        </w:rPr>
        <w:t xml:space="preserve">declining or complying </w:t>
      </w:r>
      <w:r w:rsidR="00D97435">
        <w:rPr>
          <w:rFonts w:eastAsia="Times New Roman" w:cs="Calibri"/>
          <w:color w:val="000000"/>
          <w:sz w:val="32"/>
          <w:szCs w:val="32"/>
          <w:lang w:eastAsia="en-GB"/>
        </w:rPr>
        <w:t xml:space="preserve">but </w:t>
      </w:r>
      <w:r w:rsidR="00BE2008">
        <w:rPr>
          <w:rFonts w:eastAsia="Times New Roman" w:cs="Calibri"/>
          <w:color w:val="000000"/>
          <w:sz w:val="32"/>
          <w:szCs w:val="32"/>
          <w:lang w:eastAsia="en-GB"/>
        </w:rPr>
        <w:t>with a charge</w:t>
      </w:r>
      <w:r w:rsidR="00635F47">
        <w:rPr>
          <w:rFonts w:eastAsia="Times New Roman" w:cs="Calibri"/>
          <w:color w:val="000000"/>
          <w:sz w:val="32"/>
          <w:szCs w:val="32"/>
          <w:lang w:eastAsia="en-GB"/>
        </w:rPr>
        <w:t xml:space="preserve"> </w:t>
      </w:r>
      <w:r w:rsidR="00D54171">
        <w:rPr>
          <w:rFonts w:eastAsia="Times New Roman" w:cs="Calibri"/>
          <w:color w:val="000000"/>
          <w:sz w:val="32"/>
          <w:szCs w:val="32"/>
          <w:lang w:eastAsia="en-GB"/>
        </w:rPr>
        <w:t xml:space="preserve">you </w:t>
      </w:r>
      <w:r w:rsidR="00635F47">
        <w:rPr>
          <w:rFonts w:eastAsia="Times New Roman" w:cs="Calibri"/>
          <w:color w:val="000000"/>
          <w:sz w:val="32"/>
          <w:szCs w:val="32"/>
          <w:lang w:eastAsia="en-GB"/>
        </w:rPr>
        <w:t>must be able to justify your actions.</w:t>
      </w:r>
    </w:p>
    <w:p w14:paraId="5D2472A3" w14:textId="77777777" w:rsidR="00441488" w:rsidRDefault="00441488" w:rsidP="00A74C29">
      <w:pPr>
        <w:rPr>
          <w:rFonts w:eastAsia="Times New Roman" w:cs="Calibri"/>
          <w:color w:val="000000"/>
          <w:sz w:val="32"/>
          <w:szCs w:val="32"/>
          <w:lang w:eastAsia="en-GB"/>
        </w:rPr>
      </w:pPr>
    </w:p>
    <w:p w14:paraId="5A4EC369" w14:textId="77777777" w:rsidR="00441488" w:rsidRPr="00441488" w:rsidRDefault="00441488" w:rsidP="00A74C29">
      <w:pPr>
        <w:rPr>
          <w:rFonts w:eastAsia="Times New Roman" w:cs="Calibri"/>
          <w:b/>
          <w:color w:val="000000"/>
          <w:sz w:val="32"/>
          <w:szCs w:val="32"/>
          <w:u w:val="single"/>
          <w:lang w:eastAsia="en-GB"/>
        </w:rPr>
      </w:pPr>
      <w:r w:rsidRPr="00441488">
        <w:rPr>
          <w:rFonts w:eastAsia="Times New Roman" w:cs="Calibri"/>
          <w:b/>
          <w:color w:val="000000"/>
          <w:sz w:val="32"/>
          <w:szCs w:val="32"/>
          <w:u w:val="single"/>
          <w:lang w:eastAsia="en-GB"/>
        </w:rPr>
        <w:t>OK so how’s this going to work in practice?</w:t>
      </w:r>
    </w:p>
    <w:p w14:paraId="1AAB7813" w14:textId="77777777" w:rsidR="00441488" w:rsidRDefault="00441488" w:rsidP="00A74C29">
      <w:pPr>
        <w:rPr>
          <w:rFonts w:eastAsia="Times New Roman" w:cs="Calibri"/>
          <w:color w:val="000000"/>
          <w:sz w:val="32"/>
          <w:szCs w:val="32"/>
          <w:lang w:eastAsia="en-GB"/>
        </w:rPr>
      </w:pPr>
    </w:p>
    <w:p w14:paraId="3F2A3E14" w14:textId="77777777" w:rsidR="00441488" w:rsidRDefault="00441488" w:rsidP="00A74C29">
      <w:pPr>
        <w:rPr>
          <w:rFonts w:eastAsia="Times New Roman" w:cs="Calibri"/>
          <w:color w:val="000000"/>
          <w:sz w:val="32"/>
          <w:szCs w:val="32"/>
          <w:lang w:eastAsia="en-GB"/>
        </w:rPr>
      </w:pPr>
      <w:r>
        <w:rPr>
          <w:rFonts w:eastAsia="Times New Roman" w:cs="Calibri"/>
          <w:color w:val="000000"/>
          <w:sz w:val="32"/>
          <w:szCs w:val="32"/>
          <w:lang w:eastAsia="en-GB"/>
        </w:rPr>
        <w:t>We redact and then copy the 17 Lloyd George envelopes, we put them in lever arch files, stack them in storage boxes and then say come and get them, there’s a bill for £500 to pay. Guess what, they change their minds and no longer want them. You’ve now got 24 kg, 4,200 pages of notes and have lost 2 days staff time.</w:t>
      </w:r>
    </w:p>
    <w:p w14:paraId="529C628D" w14:textId="77777777" w:rsidR="00441488" w:rsidRDefault="00441488" w:rsidP="00A74C29">
      <w:pPr>
        <w:rPr>
          <w:rFonts w:eastAsia="Times New Roman" w:cs="Calibri"/>
          <w:color w:val="000000"/>
          <w:sz w:val="32"/>
          <w:szCs w:val="32"/>
          <w:lang w:eastAsia="en-GB"/>
        </w:rPr>
      </w:pPr>
    </w:p>
    <w:p w14:paraId="547D9A88" w14:textId="77777777" w:rsidR="00173D56" w:rsidRDefault="00441488" w:rsidP="00A74C29">
      <w:pPr>
        <w:rPr>
          <w:rFonts w:cs="Calibri"/>
          <w:sz w:val="32"/>
          <w:szCs w:val="32"/>
        </w:rPr>
      </w:pPr>
      <w:r>
        <w:rPr>
          <w:rFonts w:cs="Calibri"/>
          <w:sz w:val="32"/>
          <w:szCs w:val="32"/>
        </w:rPr>
        <w:t xml:space="preserve">My advice, if you are contemplating a charge, is to get </w:t>
      </w:r>
      <w:r w:rsidR="00635F47">
        <w:rPr>
          <w:rFonts w:cs="Calibri"/>
          <w:sz w:val="32"/>
          <w:szCs w:val="32"/>
        </w:rPr>
        <w:t xml:space="preserve">the charge </w:t>
      </w:r>
      <w:r>
        <w:rPr>
          <w:rFonts w:cs="Calibri"/>
          <w:sz w:val="32"/>
          <w:szCs w:val="32"/>
        </w:rPr>
        <w:t xml:space="preserve">at least agreed with the DS before you do the work. Even better would be paid in advance. </w:t>
      </w:r>
    </w:p>
    <w:p w14:paraId="719E2F0A" w14:textId="77777777" w:rsidR="00441488" w:rsidRDefault="00441488" w:rsidP="00A74C29">
      <w:pPr>
        <w:rPr>
          <w:rFonts w:cs="Calibri"/>
          <w:sz w:val="32"/>
          <w:szCs w:val="32"/>
        </w:rPr>
      </w:pPr>
    </w:p>
    <w:p w14:paraId="5C7F9874" w14:textId="77777777" w:rsidR="00441488" w:rsidRDefault="00441488" w:rsidP="00A74C29">
      <w:pPr>
        <w:rPr>
          <w:rFonts w:cs="Calibri"/>
          <w:sz w:val="32"/>
          <w:szCs w:val="32"/>
        </w:rPr>
      </w:pPr>
      <w:r>
        <w:rPr>
          <w:rFonts w:cs="Calibri"/>
          <w:sz w:val="32"/>
          <w:szCs w:val="32"/>
        </w:rPr>
        <w:t>I have seen nothing in GDPR that says you cannot adopt this approach.</w:t>
      </w:r>
    </w:p>
    <w:p w14:paraId="260883DE" w14:textId="77777777" w:rsidR="00441488" w:rsidRDefault="00441488" w:rsidP="00A74C29">
      <w:pPr>
        <w:rPr>
          <w:rFonts w:cs="Calibri"/>
          <w:sz w:val="32"/>
          <w:szCs w:val="32"/>
        </w:rPr>
      </w:pPr>
    </w:p>
    <w:p w14:paraId="2FB79A71" w14:textId="77777777" w:rsidR="00403EB1" w:rsidRPr="00403EB1" w:rsidRDefault="00403EB1" w:rsidP="00443638">
      <w:pPr>
        <w:rPr>
          <w:rFonts w:eastAsia="Times New Roman" w:cs="Calibri"/>
          <w:b/>
          <w:color w:val="000000"/>
          <w:sz w:val="32"/>
          <w:szCs w:val="32"/>
          <w:u w:val="single"/>
          <w:lang w:eastAsia="en-GB"/>
        </w:rPr>
      </w:pPr>
      <w:r w:rsidRPr="00403EB1">
        <w:rPr>
          <w:rFonts w:eastAsia="Times New Roman" w:cs="Calibri"/>
          <w:b/>
          <w:color w:val="000000"/>
          <w:sz w:val="32"/>
          <w:szCs w:val="32"/>
          <w:u w:val="single"/>
          <w:lang w:eastAsia="en-GB"/>
        </w:rPr>
        <w:t>What about 3</w:t>
      </w:r>
      <w:r w:rsidRPr="00403EB1">
        <w:rPr>
          <w:rFonts w:eastAsia="Times New Roman" w:cs="Calibri"/>
          <w:b/>
          <w:color w:val="000000"/>
          <w:sz w:val="32"/>
          <w:szCs w:val="32"/>
          <w:u w:val="single"/>
          <w:vertAlign w:val="superscript"/>
          <w:lang w:eastAsia="en-GB"/>
        </w:rPr>
        <w:t>rd</w:t>
      </w:r>
      <w:r w:rsidRPr="00403EB1">
        <w:rPr>
          <w:rFonts w:eastAsia="Times New Roman" w:cs="Calibri"/>
          <w:b/>
          <w:color w:val="000000"/>
          <w:sz w:val="32"/>
          <w:szCs w:val="32"/>
          <w:u w:val="single"/>
          <w:lang w:eastAsia="en-GB"/>
        </w:rPr>
        <w:t xml:space="preserve"> parties acting for the DS?</w:t>
      </w:r>
    </w:p>
    <w:p w14:paraId="31AC9CC5" w14:textId="77777777" w:rsidR="00403EB1" w:rsidRDefault="00403EB1" w:rsidP="00443638">
      <w:pPr>
        <w:rPr>
          <w:rFonts w:eastAsia="Times New Roman" w:cs="Calibri"/>
          <w:color w:val="000000"/>
          <w:sz w:val="32"/>
          <w:szCs w:val="32"/>
          <w:lang w:eastAsia="en-GB"/>
        </w:rPr>
      </w:pPr>
    </w:p>
    <w:p w14:paraId="4607027D" w14:textId="77777777" w:rsidR="00403EB1" w:rsidRPr="00403EB1" w:rsidRDefault="00403EB1" w:rsidP="00443638">
      <w:pPr>
        <w:rPr>
          <w:rFonts w:eastAsia="Times New Roman" w:cs="Calibri"/>
          <w:color w:val="000000"/>
          <w:sz w:val="32"/>
          <w:szCs w:val="32"/>
          <w:lang w:eastAsia="en-GB"/>
        </w:rPr>
      </w:pPr>
      <w:r w:rsidRPr="00403EB1">
        <w:rPr>
          <w:rFonts w:cs="Calibri"/>
          <w:color w:val="000000"/>
          <w:sz w:val="32"/>
          <w:szCs w:val="32"/>
        </w:rPr>
        <w:t>You cannot ordinarily charge for a SAR or TSAR. It makes no difference who it is being delivered to. The DS must have access, directly or indirectly, to the first SAR or TSAR free of charge. If you hand it over to their nominated 3</w:t>
      </w:r>
      <w:r w:rsidRPr="00403EB1">
        <w:rPr>
          <w:rFonts w:cs="Calibri"/>
          <w:color w:val="000000"/>
          <w:sz w:val="32"/>
          <w:szCs w:val="32"/>
          <w:vertAlign w:val="superscript"/>
        </w:rPr>
        <w:t>rd</w:t>
      </w:r>
      <w:r w:rsidRPr="00403EB1">
        <w:rPr>
          <w:rFonts w:cs="Calibri"/>
          <w:color w:val="000000"/>
          <w:sz w:val="32"/>
          <w:szCs w:val="32"/>
        </w:rPr>
        <w:t xml:space="preserve"> party for free then you have provided access free to the DS because the nominated 3</w:t>
      </w:r>
      <w:r w:rsidRPr="00403EB1">
        <w:rPr>
          <w:rFonts w:cs="Calibri"/>
          <w:color w:val="000000"/>
          <w:sz w:val="32"/>
          <w:szCs w:val="32"/>
          <w:vertAlign w:val="superscript"/>
        </w:rPr>
        <w:t>rd</w:t>
      </w:r>
      <w:r w:rsidRPr="00403EB1">
        <w:rPr>
          <w:rFonts w:cs="Calibri"/>
          <w:color w:val="000000"/>
          <w:sz w:val="32"/>
          <w:szCs w:val="32"/>
        </w:rPr>
        <w:t xml:space="preserve"> party is the DS by proxy and you have complied with GDPR. You cannot charge a 3</w:t>
      </w:r>
      <w:r w:rsidRPr="00403EB1">
        <w:rPr>
          <w:rFonts w:cs="Calibri"/>
          <w:color w:val="000000"/>
          <w:sz w:val="32"/>
          <w:szCs w:val="32"/>
          <w:vertAlign w:val="superscript"/>
        </w:rPr>
        <w:t>rd</w:t>
      </w:r>
      <w:r w:rsidRPr="00403EB1">
        <w:rPr>
          <w:rFonts w:cs="Calibri"/>
          <w:color w:val="000000"/>
          <w:sz w:val="32"/>
          <w:szCs w:val="32"/>
        </w:rPr>
        <w:t xml:space="preserve"> party intermediary who represents the DS for a SAR or TSAR.</w:t>
      </w:r>
    </w:p>
    <w:p w14:paraId="15F755D9" w14:textId="77777777" w:rsidR="00BC2FF1" w:rsidRPr="00403EB1" w:rsidRDefault="00BC2FF1" w:rsidP="00443638">
      <w:pPr>
        <w:rPr>
          <w:rFonts w:eastAsia="Times New Roman" w:cs="Calibri"/>
          <w:color w:val="000000"/>
          <w:sz w:val="32"/>
          <w:szCs w:val="32"/>
          <w:lang w:eastAsia="en-GB"/>
        </w:rPr>
      </w:pPr>
    </w:p>
    <w:p w14:paraId="4CA5108A" w14:textId="77777777" w:rsidR="00451F27" w:rsidRPr="00567526" w:rsidRDefault="00C23B7D" w:rsidP="00441488">
      <w:pPr>
        <w:spacing w:before="120"/>
        <w:rPr>
          <w:rFonts w:cs="Calibri"/>
          <w:b/>
          <w:sz w:val="32"/>
          <w:szCs w:val="32"/>
          <w:u w:val="single"/>
        </w:rPr>
      </w:pPr>
      <w:r w:rsidRPr="00C23B7D">
        <w:rPr>
          <w:rFonts w:eastAsia="Times New Roman" w:cs="Calibri"/>
          <w:color w:val="000000"/>
          <w:sz w:val="32"/>
          <w:szCs w:val="32"/>
          <w:lang w:eastAsia="en-GB"/>
        </w:rPr>
        <w:t xml:space="preserve"> </w:t>
      </w:r>
      <w:r w:rsidR="00451F27" w:rsidRPr="00567526">
        <w:rPr>
          <w:rFonts w:cs="Calibri"/>
          <w:b/>
          <w:sz w:val="32"/>
          <w:szCs w:val="32"/>
          <w:u w:val="single"/>
        </w:rPr>
        <w:t xml:space="preserve">Can </w:t>
      </w:r>
      <w:r w:rsidRPr="00567526">
        <w:rPr>
          <w:rFonts w:cs="Calibri"/>
          <w:b/>
          <w:sz w:val="32"/>
          <w:szCs w:val="32"/>
          <w:u w:val="single"/>
        </w:rPr>
        <w:t xml:space="preserve">I </w:t>
      </w:r>
      <w:r w:rsidR="00451F27" w:rsidRPr="00567526">
        <w:rPr>
          <w:rFonts w:cs="Calibri"/>
          <w:b/>
          <w:sz w:val="32"/>
          <w:szCs w:val="32"/>
          <w:u w:val="single"/>
        </w:rPr>
        <w:t>provide a SAR orally</w:t>
      </w:r>
      <w:r w:rsidRPr="00567526">
        <w:rPr>
          <w:rFonts w:cs="Calibri"/>
          <w:b/>
          <w:sz w:val="32"/>
          <w:szCs w:val="32"/>
          <w:u w:val="single"/>
        </w:rPr>
        <w:t>?</w:t>
      </w:r>
    </w:p>
    <w:p w14:paraId="73786C80" w14:textId="77777777" w:rsidR="00C23B7D" w:rsidRPr="00567526" w:rsidRDefault="00C23B7D" w:rsidP="00A776A4">
      <w:pPr>
        <w:rPr>
          <w:rFonts w:cs="Calibri"/>
          <w:b/>
          <w:sz w:val="32"/>
          <w:szCs w:val="32"/>
          <w:u w:val="single"/>
        </w:rPr>
      </w:pPr>
    </w:p>
    <w:p w14:paraId="6DE759B1" w14:textId="77777777" w:rsidR="00451F27" w:rsidRPr="00567526" w:rsidRDefault="00C23B7D" w:rsidP="00A776A4">
      <w:pPr>
        <w:rPr>
          <w:rFonts w:cs="Calibri"/>
          <w:sz w:val="32"/>
          <w:szCs w:val="32"/>
        </w:rPr>
      </w:pPr>
      <w:r w:rsidRPr="00567526">
        <w:rPr>
          <w:rFonts w:cs="Calibri"/>
          <w:sz w:val="32"/>
          <w:szCs w:val="32"/>
        </w:rPr>
        <w:t>Yes</w:t>
      </w:r>
      <w:r w:rsidR="00451F27" w:rsidRPr="00567526">
        <w:rPr>
          <w:rFonts w:cs="Calibri"/>
          <w:sz w:val="32"/>
          <w:szCs w:val="32"/>
        </w:rPr>
        <w:t xml:space="preserve">, you know it’s the </w:t>
      </w:r>
      <w:r w:rsidR="00626ED2" w:rsidRPr="00567526">
        <w:rPr>
          <w:rFonts w:cs="Calibri"/>
          <w:sz w:val="32"/>
          <w:szCs w:val="32"/>
        </w:rPr>
        <w:t>patient;</w:t>
      </w:r>
      <w:r w:rsidR="00451F27" w:rsidRPr="00567526">
        <w:rPr>
          <w:rFonts w:cs="Calibri"/>
          <w:sz w:val="32"/>
          <w:szCs w:val="32"/>
        </w:rPr>
        <w:t xml:space="preserve"> you can action the SAR there and then.</w:t>
      </w:r>
      <w:r w:rsidRPr="00567526">
        <w:rPr>
          <w:rFonts w:cs="Calibri"/>
          <w:sz w:val="32"/>
          <w:szCs w:val="32"/>
        </w:rPr>
        <w:t xml:space="preserve"> Obviously, this is likely to be a TSAR.</w:t>
      </w:r>
      <w:r w:rsidR="00BE2008">
        <w:rPr>
          <w:rFonts w:cs="Calibri"/>
          <w:sz w:val="32"/>
          <w:szCs w:val="32"/>
        </w:rPr>
        <w:t xml:space="preserve"> And I can conceive of no circumstance of your being able to charge, unless you did a sort of talking book extended reading.</w:t>
      </w:r>
    </w:p>
    <w:p w14:paraId="5F68CA6B" w14:textId="77777777" w:rsidR="00451F27" w:rsidRPr="00567526" w:rsidRDefault="00451F27" w:rsidP="00A776A4">
      <w:pPr>
        <w:rPr>
          <w:rFonts w:cs="Calibri"/>
          <w:sz w:val="32"/>
          <w:szCs w:val="32"/>
        </w:rPr>
      </w:pPr>
    </w:p>
    <w:p w14:paraId="522A5318" w14:textId="77777777" w:rsidR="00443638" w:rsidRPr="00567526" w:rsidRDefault="00C23B7D" w:rsidP="00443638">
      <w:pPr>
        <w:rPr>
          <w:rFonts w:cs="Calibri"/>
          <w:b/>
          <w:sz w:val="32"/>
          <w:szCs w:val="32"/>
          <w:u w:val="single"/>
        </w:rPr>
      </w:pPr>
      <w:r w:rsidRPr="00567526">
        <w:rPr>
          <w:rFonts w:cs="Calibri"/>
          <w:b/>
          <w:sz w:val="32"/>
          <w:szCs w:val="32"/>
          <w:u w:val="single"/>
        </w:rPr>
        <w:t xml:space="preserve">Saying No a </w:t>
      </w:r>
      <w:r w:rsidR="00443638" w:rsidRPr="00567526">
        <w:rPr>
          <w:rFonts w:cs="Calibri"/>
          <w:b/>
          <w:sz w:val="32"/>
          <w:szCs w:val="32"/>
          <w:u w:val="single"/>
        </w:rPr>
        <w:t>SAR</w:t>
      </w:r>
      <w:r w:rsidRPr="00567526">
        <w:rPr>
          <w:rFonts w:cs="Calibri"/>
          <w:b/>
          <w:sz w:val="32"/>
          <w:szCs w:val="32"/>
          <w:u w:val="single"/>
        </w:rPr>
        <w:t xml:space="preserve"> or TSAR</w:t>
      </w:r>
      <w:r w:rsidR="00443638" w:rsidRPr="00567526">
        <w:rPr>
          <w:rFonts w:cs="Calibri"/>
          <w:b/>
          <w:sz w:val="32"/>
          <w:szCs w:val="32"/>
          <w:u w:val="single"/>
        </w:rPr>
        <w:t>?</w:t>
      </w:r>
    </w:p>
    <w:p w14:paraId="3CC2B2F5" w14:textId="77777777" w:rsidR="003F12E1" w:rsidRPr="00567526" w:rsidRDefault="003F12E1" w:rsidP="00443638">
      <w:pPr>
        <w:rPr>
          <w:rFonts w:cs="Calibri"/>
          <w:b/>
          <w:sz w:val="32"/>
          <w:szCs w:val="32"/>
          <w:u w:val="single"/>
        </w:rPr>
      </w:pPr>
    </w:p>
    <w:p w14:paraId="145848C8" w14:textId="77777777" w:rsidR="00443638" w:rsidRPr="00567526" w:rsidRDefault="00443638" w:rsidP="00443638">
      <w:pPr>
        <w:rPr>
          <w:rFonts w:cs="Calibri"/>
          <w:sz w:val="32"/>
          <w:szCs w:val="32"/>
        </w:rPr>
      </w:pPr>
      <w:r w:rsidRPr="00567526">
        <w:rPr>
          <w:rFonts w:cs="Calibri"/>
          <w:sz w:val="32"/>
          <w:szCs w:val="32"/>
        </w:rPr>
        <w:t xml:space="preserve">If you refuse a request it will be important to document your reasons for doing so and you must communicate them to the DS within the same </w:t>
      </w:r>
      <w:r w:rsidR="00C23B7D" w:rsidRPr="00567526">
        <w:rPr>
          <w:rFonts w:cs="Calibri"/>
          <w:sz w:val="32"/>
          <w:szCs w:val="32"/>
        </w:rPr>
        <w:t>one-month</w:t>
      </w:r>
      <w:r w:rsidRPr="00567526">
        <w:rPr>
          <w:rFonts w:cs="Calibri"/>
          <w:sz w:val="32"/>
          <w:szCs w:val="32"/>
        </w:rPr>
        <w:t xml:space="preserve"> response deadline. If you do decline a </w:t>
      </w:r>
      <w:r w:rsidR="00C23B7D" w:rsidRPr="00567526">
        <w:rPr>
          <w:rFonts w:cs="Calibri"/>
          <w:sz w:val="32"/>
          <w:szCs w:val="32"/>
        </w:rPr>
        <w:t>request,</w:t>
      </w:r>
      <w:r w:rsidRPr="00567526">
        <w:rPr>
          <w:rFonts w:cs="Calibri"/>
          <w:sz w:val="32"/>
          <w:szCs w:val="32"/>
        </w:rPr>
        <w:t xml:space="preserve"> you must let the DS know their rights to complain about your decision to the ICO and it would be wise to also refer to your DPO.</w:t>
      </w:r>
    </w:p>
    <w:p w14:paraId="19ECEA17" w14:textId="77777777" w:rsidR="003F12E1" w:rsidRPr="00567526" w:rsidRDefault="003F12E1" w:rsidP="00443638">
      <w:pPr>
        <w:rPr>
          <w:rFonts w:cs="Calibri"/>
          <w:b/>
          <w:sz w:val="32"/>
          <w:szCs w:val="32"/>
        </w:rPr>
      </w:pPr>
    </w:p>
    <w:p w14:paraId="30DD2822" w14:textId="77777777" w:rsidR="00047EF9" w:rsidRPr="00567526" w:rsidRDefault="00047EF9" w:rsidP="00443638">
      <w:pPr>
        <w:rPr>
          <w:rFonts w:cs="Calibri"/>
          <w:b/>
          <w:sz w:val="32"/>
          <w:szCs w:val="32"/>
          <w:u w:val="single"/>
        </w:rPr>
      </w:pPr>
      <w:r w:rsidRPr="00567526">
        <w:rPr>
          <w:rFonts w:cs="Calibri"/>
          <w:b/>
          <w:sz w:val="32"/>
          <w:szCs w:val="32"/>
          <w:u w:val="single"/>
        </w:rPr>
        <w:t xml:space="preserve">Other </w:t>
      </w:r>
      <w:r w:rsidR="00D92159">
        <w:rPr>
          <w:rFonts w:cs="Calibri"/>
          <w:b/>
          <w:sz w:val="32"/>
          <w:szCs w:val="32"/>
          <w:u w:val="single"/>
        </w:rPr>
        <w:t xml:space="preserve">GDPR </w:t>
      </w:r>
      <w:r w:rsidRPr="00567526">
        <w:rPr>
          <w:rFonts w:cs="Calibri"/>
          <w:b/>
          <w:sz w:val="32"/>
          <w:szCs w:val="32"/>
          <w:u w:val="single"/>
        </w:rPr>
        <w:t>exceptions</w:t>
      </w:r>
    </w:p>
    <w:p w14:paraId="2F596789" w14:textId="77777777" w:rsidR="00047EF9" w:rsidRPr="00567526" w:rsidRDefault="00047EF9" w:rsidP="00443638">
      <w:pPr>
        <w:rPr>
          <w:rFonts w:cs="Calibri"/>
          <w:b/>
          <w:sz w:val="32"/>
          <w:szCs w:val="32"/>
          <w:u w:val="single"/>
        </w:rPr>
      </w:pPr>
    </w:p>
    <w:p w14:paraId="13E5BBAE" w14:textId="77777777" w:rsidR="00DD30F6" w:rsidRPr="00DD30F6" w:rsidRDefault="00047EF9" w:rsidP="00443638">
      <w:pPr>
        <w:rPr>
          <w:rFonts w:cs="Calibri"/>
          <w:sz w:val="32"/>
          <w:szCs w:val="32"/>
        </w:rPr>
      </w:pPr>
      <w:r w:rsidRPr="00567526">
        <w:rPr>
          <w:rFonts w:cs="Calibri"/>
          <w:sz w:val="32"/>
          <w:szCs w:val="32"/>
        </w:rPr>
        <w:t xml:space="preserve">In relation data gathered from the DS themselves, </w:t>
      </w:r>
      <w:r w:rsidR="00B72577" w:rsidRPr="00567526">
        <w:rPr>
          <w:rFonts w:cs="Calibri"/>
          <w:sz w:val="32"/>
          <w:szCs w:val="32"/>
        </w:rPr>
        <w:t>i.e.</w:t>
      </w:r>
      <w:r w:rsidRPr="00567526">
        <w:rPr>
          <w:rFonts w:cs="Calibri"/>
          <w:sz w:val="32"/>
          <w:szCs w:val="32"/>
        </w:rPr>
        <w:t xml:space="preserve"> data they </w:t>
      </w:r>
      <w:r w:rsidR="00980808" w:rsidRPr="00567526">
        <w:rPr>
          <w:rFonts w:cs="Calibri"/>
          <w:sz w:val="32"/>
          <w:szCs w:val="32"/>
        </w:rPr>
        <w:t>provided,</w:t>
      </w:r>
      <w:r w:rsidRPr="00567526">
        <w:rPr>
          <w:rFonts w:cs="Calibri"/>
          <w:sz w:val="32"/>
          <w:szCs w:val="32"/>
        </w:rPr>
        <w:t xml:space="preserve"> </w:t>
      </w:r>
      <w:r w:rsidR="00FC42E1" w:rsidRPr="00567526">
        <w:rPr>
          <w:rFonts w:cs="Calibri"/>
          <w:sz w:val="32"/>
          <w:szCs w:val="32"/>
        </w:rPr>
        <w:t xml:space="preserve">or you got from them directly, </w:t>
      </w:r>
      <w:r w:rsidR="00BE2008">
        <w:rPr>
          <w:rFonts w:cs="Calibri"/>
          <w:sz w:val="32"/>
          <w:szCs w:val="32"/>
        </w:rPr>
        <w:t xml:space="preserve">there is an </w:t>
      </w:r>
      <w:r w:rsidRPr="00567526">
        <w:rPr>
          <w:rFonts w:cs="Calibri"/>
          <w:sz w:val="32"/>
          <w:szCs w:val="32"/>
        </w:rPr>
        <w:t xml:space="preserve">exception to </w:t>
      </w:r>
      <w:r w:rsidR="00BE2008">
        <w:rPr>
          <w:rFonts w:cs="Calibri"/>
          <w:sz w:val="32"/>
          <w:szCs w:val="32"/>
        </w:rPr>
        <w:t xml:space="preserve">providing copies </w:t>
      </w:r>
      <w:r w:rsidRPr="00DD30F6">
        <w:rPr>
          <w:rFonts w:cs="Calibri"/>
          <w:sz w:val="32"/>
          <w:szCs w:val="32"/>
        </w:rPr>
        <w:t>“where and insofar as, the data subject already has the information”</w:t>
      </w:r>
      <w:r w:rsidR="00DD30F6" w:rsidRPr="00DD30F6">
        <w:rPr>
          <w:rFonts w:cs="Calibri"/>
          <w:sz w:val="32"/>
          <w:szCs w:val="32"/>
        </w:rPr>
        <w:t xml:space="preserve">. </w:t>
      </w:r>
      <w:r w:rsidR="00BE2008">
        <w:rPr>
          <w:rFonts w:cs="Calibri"/>
          <w:sz w:val="32"/>
          <w:szCs w:val="32"/>
        </w:rPr>
        <w:t xml:space="preserve">So if they gave you a spreadsheet of BPs, you don’t need to be able to give them a copy back. </w:t>
      </w:r>
      <w:r w:rsidR="006C24DD">
        <w:rPr>
          <w:rFonts w:cs="Calibri"/>
          <w:sz w:val="32"/>
          <w:szCs w:val="32"/>
        </w:rPr>
        <w:t xml:space="preserve">Please note this applies to both the personal and special category data relating to the DS as well as the additional data mentioned in </w:t>
      </w:r>
      <w:hyperlink w:anchor="additional" w:history="1">
        <w:r w:rsidR="006C24DD" w:rsidRPr="006C24DD">
          <w:rPr>
            <w:rStyle w:val="Hyperlink"/>
            <w:rFonts w:cs="Calibri"/>
            <w:sz w:val="32"/>
            <w:szCs w:val="32"/>
          </w:rPr>
          <w:t>2</w:t>
        </w:r>
      </w:hyperlink>
      <w:r w:rsidR="006C24DD">
        <w:rPr>
          <w:rFonts w:cs="Calibri"/>
          <w:sz w:val="32"/>
          <w:szCs w:val="32"/>
        </w:rPr>
        <w:t xml:space="preserve"> above.</w:t>
      </w:r>
    </w:p>
    <w:p w14:paraId="6F5DAB92" w14:textId="77777777" w:rsidR="00DD30F6" w:rsidRPr="00567526" w:rsidRDefault="00DD30F6" w:rsidP="00443638">
      <w:pPr>
        <w:rPr>
          <w:rFonts w:cs="Calibri"/>
          <w:sz w:val="32"/>
          <w:szCs w:val="32"/>
        </w:rPr>
      </w:pPr>
    </w:p>
    <w:p w14:paraId="778BE411" w14:textId="77777777" w:rsidR="00FC046A" w:rsidRDefault="00DD30F6" w:rsidP="001B2E85">
      <w:pPr>
        <w:rPr>
          <w:rFonts w:cs="Calibri"/>
          <w:sz w:val="32"/>
          <w:szCs w:val="32"/>
        </w:rPr>
      </w:pPr>
      <w:r w:rsidRPr="00567526">
        <w:rPr>
          <w:rFonts w:cs="Calibri"/>
          <w:sz w:val="32"/>
          <w:szCs w:val="32"/>
        </w:rPr>
        <w:t xml:space="preserve">In relation to data gathered from elsewhere, </w:t>
      </w:r>
      <w:r w:rsidR="001B2E85" w:rsidRPr="00567526">
        <w:rPr>
          <w:rFonts w:cs="Calibri"/>
          <w:sz w:val="32"/>
          <w:szCs w:val="32"/>
        </w:rPr>
        <w:t>i.e.</w:t>
      </w:r>
      <w:r w:rsidRPr="00567526">
        <w:rPr>
          <w:rFonts w:cs="Calibri"/>
          <w:sz w:val="32"/>
          <w:szCs w:val="32"/>
        </w:rPr>
        <w:t xml:space="preserve"> </w:t>
      </w:r>
      <w:r w:rsidR="001B2E85" w:rsidRPr="00567526">
        <w:rPr>
          <w:rFonts w:cs="Calibri"/>
          <w:sz w:val="32"/>
          <w:szCs w:val="32"/>
        </w:rPr>
        <w:t>other than from the DS themselves, which is a lot in medicine,</w:t>
      </w:r>
      <w:r w:rsidR="00BE2008">
        <w:rPr>
          <w:rFonts w:cs="Calibri"/>
          <w:sz w:val="32"/>
          <w:szCs w:val="32"/>
        </w:rPr>
        <w:t xml:space="preserve"> think OPD letters, discharge summaries etc,</w:t>
      </w:r>
      <w:r w:rsidR="001B2E85" w:rsidRPr="00567526">
        <w:rPr>
          <w:rFonts w:cs="Calibri"/>
          <w:sz w:val="32"/>
          <w:szCs w:val="32"/>
        </w:rPr>
        <w:t xml:space="preserve"> other exceptions for providing data can apply. They are; </w:t>
      </w:r>
      <w:r w:rsidR="006C24DD" w:rsidRPr="00567526">
        <w:rPr>
          <w:rFonts w:cs="Calibri"/>
          <w:sz w:val="32"/>
          <w:szCs w:val="32"/>
        </w:rPr>
        <w:t>firstly,</w:t>
      </w:r>
      <w:r w:rsidR="001B2E85" w:rsidRPr="00567526">
        <w:rPr>
          <w:rFonts w:cs="Calibri"/>
          <w:sz w:val="32"/>
          <w:szCs w:val="32"/>
        </w:rPr>
        <w:t xml:space="preserve"> the manifestly obvious “they’ve already got it” reason </w:t>
      </w:r>
      <w:r w:rsidR="001B2E85" w:rsidRPr="001B2E85">
        <w:rPr>
          <w:rFonts w:cs="Calibri"/>
          <w:sz w:val="32"/>
          <w:szCs w:val="32"/>
        </w:rPr>
        <w:t>(Article 14.5(a))</w:t>
      </w:r>
      <w:r w:rsidR="00BE2008">
        <w:rPr>
          <w:rFonts w:cs="Calibri"/>
          <w:sz w:val="32"/>
          <w:szCs w:val="32"/>
        </w:rPr>
        <w:t xml:space="preserve">. Think </w:t>
      </w:r>
      <w:r w:rsidR="00FC046A">
        <w:rPr>
          <w:rFonts w:cs="Calibri"/>
          <w:sz w:val="32"/>
          <w:szCs w:val="32"/>
        </w:rPr>
        <w:t>letters copied to patients scheme.</w:t>
      </w:r>
    </w:p>
    <w:p w14:paraId="4CB94CE5" w14:textId="77777777" w:rsidR="00FC046A" w:rsidRDefault="00FC046A" w:rsidP="001B2E85">
      <w:pPr>
        <w:rPr>
          <w:rFonts w:cs="Calibri"/>
          <w:sz w:val="32"/>
          <w:szCs w:val="32"/>
        </w:rPr>
      </w:pPr>
    </w:p>
    <w:p w14:paraId="7BC7DC9B" w14:textId="77777777" w:rsidR="006C24DD" w:rsidRDefault="001B2E85" w:rsidP="001B2E85">
      <w:pPr>
        <w:rPr>
          <w:rFonts w:cs="Calibri"/>
          <w:sz w:val="32"/>
          <w:szCs w:val="32"/>
        </w:rPr>
      </w:pPr>
      <w:r w:rsidRPr="001B2E85">
        <w:rPr>
          <w:rFonts w:cs="Calibri"/>
          <w:sz w:val="32"/>
          <w:szCs w:val="32"/>
        </w:rPr>
        <w:t>Article</w:t>
      </w:r>
      <w:r w:rsidR="006C24DD">
        <w:rPr>
          <w:rFonts w:cs="Calibri"/>
          <w:sz w:val="32"/>
          <w:szCs w:val="32"/>
        </w:rPr>
        <w:t>s</w:t>
      </w:r>
      <w:r w:rsidRPr="001B2E85">
        <w:rPr>
          <w:rFonts w:cs="Calibri"/>
          <w:sz w:val="32"/>
          <w:szCs w:val="32"/>
        </w:rPr>
        <w:t xml:space="preserve"> 14.5</w:t>
      </w:r>
      <w:r>
        <w:rPr>
          <w:rFonts w:cs="Calibri"/>
          <w:sz w:val="32"/>
          <w:szCs w:val="32"/>
        </w:rPr>
        <w:t>(b)(c) and (d)</w:t>
      </w:r>
      <w:r w:rsidRPr="001B2E85">
        <w:rPr>
          <w:rFonts w:cs="Calibri"/>
          <w:sz w:val="32"/>
          <w:szCs w:val="32"/>
        </w:rPr>
        <w:t xml:space="preserve"> allow for the </w:t>
      </w:r>
      <w:r w:rsidR="006C24DD">
        <w:rPr>
          <w:rFonts w:cs="Calibri"/>
          <w:sz w:val="32"/>
          <w:szCs w:val="32"/>
        </w:rPr>
        <w:t>other</w:t>
      </w:r>
      <w:r w:rsidRPr="001B2E85">
        <w:rPr>
          <w:rFonts w:cs="Calibri"/>
          <w:sz w:val="32"/>
          <w:szCs w:val="32"/>
        </w:rPr>
        <w:t xml:space="preserve"> exceptions</w:t>
      </w:r>
      <w:r w:rsidR="006C24DD">
        <w:rPr>
          <w:rFonts w:cs="Calibri"/>
          <w:sz w:val="32"/>
          <w:szCs w:val="32"/>
        </w:rPr>
        <w:t>;</w:t>
      </w:r>
    </w:p>
    <w:p w14:paraId="3D672A55" w14:textId="77777777" w:rsidR="006C24DD" w:rsidRPr="00567526" w:rsidRDefault="006C24DD" w:rsidP="006C24DD">
      <w:pPr>
        <w:rPr>
          <w:rFonts w:cs="Calibri"/>
          <w:sz w:val="32"/>
          <w:szCs w:val="32"/>
        </w:rPr>
      </w:pPr>
    </w:p>
    <w:p w14:paraId="39CFDAD1" w14:textId="77777777" w:rsidR="006C24DD" w:rsidRPr="00567526" w:rsidRDefault="00980808" w:rsidP="006C24DD">
      <w:pPr>
        <w:rPr>
          <w:rFonts w:cs="Calibri"/>
          <w:sz w:val="32"/>
          <w:szCs w:val="32"/>
        </w:rPr>
      </w:pPr>
      <w:r w:rsidRPr="00567526">
        <w:rPr>
          <w:rFonts w:cs="Calibri"/>
          <w:sz w:val="32"/>
          <w:szCs w:val="32"/>
        </w:rPr>
        <w:t>Article 14</w:t>
      </w:r>
      <w:r w:rsidR="007219D9" w:rsidRPr="00567526">
        <w:rPr>
          <w:rFonts w:cs="Calibri"/>
          <w:sz w:val="32"/>
          <w:szCs w:val="32"/>
        </w:rPr>
        <w:t xml:space="preserve">(5)(b), </w:t>
      </w:r>
      <w:r w:rsidRPr="00567526">
        <w:rPr>
          <w:rFonts w:cs="Calibri"/>
          <w:sz w:val="32"/>
          <w:szCs w:val="32"/>
        </w:rPr>
        <w:t>“</w:t>
      </w:r>
      <w:r w:rsidR="001B2E85" w:rsidRPr="00567526">
        <w:rPr>
          <w:rFonts w:cs="Calibri"/>
          <w:sz w:val="32"/>
          <w:szCs w:val="32"/>
        </w:rPr>
        <w:t>The provision of such information is impossible or would involve a disproportionate effort or would make the achievement of the objectives of the processing impossible or seriously impair them</w:t>
      </w:r>
      <w:r w:rsidR="006C24DD" w:rsidRPr="00567526">
        <w:rPr>
          <w:rFonts w:cs="Calibri"/>
          <w:sz w:val="32"/>
          <w:szCs w:val="32"/>
        </w:rPr>
        <w:t>.</w:t>
      </w:r>
      <w:r w:rsidRPr="00567526">
        <w:rPr>
          <w:rFonts w:cs="Calibri"/>
          <w:sz w:val="32"/>
          <w:szCs w:val="32"/>
        </w:rPr>
        <w:t>”</w:t>
      </w:r>
    </w:p>
    <w:p w14:paraId="760A58E4" w14:textId="77777777" w:rsidR="006C24DD" w:rsidRPr="00567526" w:rsidRDefault="006C24DD" w:rsidP="006C24DD">
      <w:pPr>
        <w:rPr>
          <w:rFonts w:cs="Calibri"/>
          <w:sz w:val="32"/>
          <w:szCs w:val="32"/>
        </w:rPr>
      </w:pPr>
    </w:p>
    <w:p w14:paraId="06012249" w14:textId="77777777" w:rsidR="006C24DD" w:rsidRPr="00567526" w:rsidRDefault="006C24DD" w:rsidP="007219D9">
      <w:pPr>
        <w:ind w:left="720"/>
        <w:rPr>
          <w:rFonts w:cs="Calibri"/>
          <w:b/>
          <w:sz w:val="32"/>
          <w:szCs w:val="32"/>
          <w:u w:val="single"/>
        </w:rPr>
      </w:pPr>
      <w:r w:rsidRPr="00567526">
        <w:rPr>
          <w:rFonts w:cs="Calibri"/>
          <w:b/>
          <w:sz w:val="32"/>
          <w:szCs w:val="32"/>
          <w:u w:val="single"/>
        </w:rPr>
        <w:t>Impossible?</w:t>
      </w:r>
    </w:p>
    <w:p w14:paraId="748CFCF2" w14:textId="77777777" w:rsidR="006C24DD" w:rsidRPr="00567526" w:rsidRDefault="006C24DD" w:rsidP="007219D9">
      <w:pPr>
        <w:ind w:left="720"/>
        <w:rPr>
          <w:rFonts w:cs="Calibri"/>
          <w:sz w:val="32"/>
          <w:szCs w:val="32"/>
        </w:rPr>
      </w:pPr>
      <w:r w:rsidRPr="00567526">
        <w:rPr>
          <w:rFonts w:cs="Calibri"/>
          <w:sz w:val="32"/>
          <w:szCs w:val="32"/>
        </w:rPr>
        <w:t xml:space="preserve">One would imagine most incoming data about our </w:t>
      </w:r>
      <w:r w:rsidR="00980808" w:rsidRPr="00567526">
        <w:rPr>
          <w:rFonts w:cs="Calibri"/>
          <w:sz w:val="32"/>
          <w:szCs w:val="32"/>
        </w:rPr>
        <w:t>patients’</w:t>
      </w:r>
      <w:r w:rsidRPr="00567526">
        <w:rPr>
          <w:rFonts w:cs="Calibri"/>
          <w:sz w:val="32"/>
          <w:szCs w:val="32"/>
        </w:rPr>
        <w:t xml:space="preserve"> identified both them an</w:t>
      </w:r>
      <w:r w:rsidR="00980808" w:rsidRPr="00567526">
        <w:rPr>
          <w:rFonts w:cs="Calibri"/>
          <w:sz w:val="32"/>
          <w:szCs w:val="32"/>
        </w:rPr>
        <w:t xml:space="preserve">d </w:t>
      </w:r>
      <w:r w:rsidRPr="00567526">
        <w:rPr>
          <w:rFonts w:cs="Calibri"/>
          <w:sz w:val="32"/>
          <w:szCs w:val="32"/>
        </w:rPr>
        <w:t>the source, so this is unlikely to</w:t>
      </w:r>
      <w:r w:rsidR="00980808" w:rsidRPr="00567526">
        <w:rPr>
          <w:rFonts w:cs="Calibri"/>
          <w:sz w:val="32"/>
          <w:szCs w:val="32"/>
        </w:rPr>
        <w:t xml:space="preserve"> </w:t>
      </w:r>
      <w:r w:rsidRPr="00567526">
        <w:rPr>
          <w:rFonts w:cs="Calibri"/>
          <w:sz w:val="32"/>
          <w:szCs w:val="32"/>
        </w:rPr>
        <w:t>ever apply</w:t>
      </w:r>
      <w:r w:rsidR="00980808" w:rsidRPr="00567526">
        <w:rPr>
          <w:rFonts w:cs="Calibri"/>
          <w:sz w:val="32"/>
          <w:szCs w:val="32"/>
        </w:rPr>
        <w:t xml:space="preserve"> for GPs</w:t>
      </w:r>
      <w:r w:rsidRPr="00567526">
        <w:rPr>
          <w:rFonts w:cs="Calibri"/>
          <w:sz w:val="32"/>
          <w:szCs w:val="32"/>
        </w:rPr>
        <w:t>.</w:t>
      </w:r>
    </w:p>
    <w:p w14:paraId="5FD0B31E" w14:textId="77777777" w:rsidR="006C24DD" w:rsidRPr="00567526" w:rsidRDefault="006C24DD" w:rsidP="007219D9">
      <w:pPr>
        <w:ind w:left="720"/>
        <w:rPr>
          <w:rFonts w:cs="Calibri"/>
          <w:sz w:val="32"/>
          <w:szCs w:val="32"/>
        </w:rPr>
      </w:pPr>
    </w:p>
    <w:p w14:paraId="6474729E" w14:textId="77777777" w:rsidR="006C24DD" w:rsidRPr="00567526" w:rsidRDefault="00980808" w:rsidP="007219D9">
      <w:pPr>
        <w:ind w:left="720"/>
        <w:rPr>
          <w:rFonts w:cs="Calibri"/>
          <w:b/>
          <w:sz w:val="32"/>
          <w:szCs w:val="32"/>
          <w:u w:val="single"/>
        </w:rPr>
      </w:pPr>
      <w:r w:rsidRPr="00567526">
        <w:rPr>
          <w:rFonts w:cs="Calibri"/>
          <w:b/>
          <w:sz w:val="32"/>
          <w:szCs w:val="32"/>
          <w:u w:val="single"/>
        </w:rPr>
        <w:t>Disproportionate</w:t>
      </w:r>
      <w:r w:rsidR="006C24DD" w:rsidRPr="00567526">
        <w:rPr>
          <w:rFonts w:cs="Calibri"/>
          <w:b/>
          <w:sz w:val="32"/>
          <w:szCs w:val="32"/>
          <w:u w:val="single"/>
        </w:rPr>
        <w:t xml:space="preserve"> </w:t>
      </w:r>
      <w:r w:rsidRPr="00567526">
        <w:rPr>
          <w:rFonts w:cs="Calibri"/>
          <w:b/>
          <w:sz w:val="32"/>
          <w:szCs w:val="32"/>
          <w:u w:val="single"/>
        </w:rPr>
        <w:t>effort?</w:t>
      </w:r>
    </w:p>
    <w:p w14:paraId="625E06BD" w14:textId="77777777" w:rsidR="005B2195" w:rsidRPr="00567526" w:rsidRDefault="005B2195" w:rsidP="007219D9">
      <w:pPr>
        <w:ind w:left="720"/>
        <w:rPr>
          <w:rFonts w:cs="Calibri"/>
          <w:sz w:val="32"/>
          <w:szCs w:val="32"/>
        </w:rPr>
      </w:pPr>
      <w:r w:rsidRPr="00567526">
        <w:rPr>
          <w:rFonts w:cs="Calibri"/>
          <w:sz w:val="32"/>
          <w:szCs w:val="32"/>
        </w:rPr>
        <w:t xml:space="preserve">If a patient has hundreds of hospital letters or </w:t>
      </w:r>
      <w:r w:rsidR="00980808" w:rsidRPr="00567526">
        <w:rPr>
          <w:rFonts w:cs="Calibri"/>
          <w:sz w:val="32"/>
          <w:szCs w:val="32"/>
        </w:rPr>
        <w:t>thousands</w:t>
      </w:r>
      <w:r w:rsidRPr="00567526">
        <w:rPr>
          <w:rFonts w:cs="Calibri"/>
          <w:sz w:val="32"/>
          <w:szCs w:val="32"/>
        </w:rPr>
        <w:t xml:space="preserve"> of test results, it might be reasonable to argue that the letters from the 1960’s are probably no longer relevant. GDPR states that accessing </w:t>
      </w:r>
      <w:r w:rsidR="00FC046A">
        <w:rPr>
          <w:rFonts w:cs="Calibri"/>
          <w:sz w:val="32"/>
          <w:szCs w:val="32"/>
        </w:rPr>
        <w:t xml:space="preserve">old and </w:t>
      </w:r>
      <w:r w:rsidRPr="00567526">
        <w:rPr>
          <w:rFonts w:cs="Calibri"/>
          <w:sz w:val="32"/>
          <w:szCs w:val="32"/>
        </w:rPr>
        <w:t>aged data</w:t>
      </w:r>
      <w:r w:rsidR="00FC046A">
        <w:rPr>
          <w:rFonts w:cs="Calibri"/>
          <w:sz w:val="32"/>
          <w:szCs w:val="32"/>
        </w:rPr>
        <w:t xml:space="preserve"> from obsolete or hard to access filing systems </w:t>
      </w:r>
      <w:r w:rsidRPr="00567526">
        <w:rPr>
          <w:rFonts w:cs="Calibri"/>
          <w:sz w:val="32"/>
          <w:szCs w:val="32"/>
        </w:rPr>
        <w:t xml:space="preserve">could be </w:t>
      </w:r>
      <w:r w:rsidR="00980808" w:rsidRPr="00567526">
        <w:rPr>
          <w:rFonts w:cs="Calibri"/>
          <w:sz w:val="32"/>
          <w:szCs w:val="32"/>
        </w:rPr>
        <w:t xml:space="preserve">deemed to </w:t>
      </w:r>
      <w:r w:rsidRPr="00567526">
        <w:rPr>
          <w:rFonts w:cs="Calibri"/>
          <w:sz w:val="32"/>
          <w:szCs w:val="32"/>
        </w:rPr>
        <w:t>require disproportionate effort.</w:t>
      </w:r>
    </w:p>
    <w:p w14:paraId="4C357DB7" w14:textId="77777777" w:rsidR="00980808" w:rsidRPr="00567526" w:rsidRDefault="00980808" w:rsidP="007219D9">
      <w:pPr>
        <w:ind w:left="720"/>
        <w:rPr>
          <w:rFonts w:cs="Calibri"/>
          <w:sz w:val="32"/>
          <w:szCs w:val="32"/>
        </w:rPr>
      </w:pPr>
    </w:p>
    <w:p w14:paraId="3B24B564" w14:textId="77777777" w:rsidR="00980808" w:rsidRPr="00980808" w:rsidRDefault="00980808" w:rsidP="007219D9">
      <w:pPr>
        <w:ind w:left="720"/>
        <w:rPr>
          <w:rFonts w:cs="Calibri"/>
          <w:b/>
          <w:sz w:val="32"/>
          <w:szCs w:val="32"/>
          <w:u w:val="single"/>
        </w:rPr>
      </w:pPr>
      <w:r>
        <w:rPr>
          <w:rFonts w:cs="Calibri"/>
          <w:b/>
          <w:sz w:val="32"/>
          <w:szCs w:val="32"/>
          <w:u w:val="single"/>
        </w:rPr>
        <w:t>M</w:t>
      </w:r>
      <w:r w:rsidRPr="00980808">
        <w:rPr>
          <w:rFonts w:cs="Calibri"/>
          <w:b/>
          <w:sz w:val="32"/>
          <w:szCs w:val="32"/>
          <w:u w:val="single"/>
        </w:rPr>
        <w:t>ake impossible or seriously impair?</w:t>
      </w:r>
    </w:p>
    <w:p w14:paraId="0A4F83FD" w14:textId="77777777" w:rsidR="00980808" w:rsidRDefault="00980808" w:rsidP="007219D9">
      <w:pPr>
        <w:ind w:left="720"/>
        <w:rPr>
          <w:rFonts w:cs="Calibri"/>
          <w:sz w:val="32"/>
          <w:szCs w:val="32"/>
        </w:rPr>
      </w:pPr>
      <w:r>
        <w:rPr>
          <w:rFonts w:cs="Calibri"/>
          <w:sz w:val="32"/>
          <w:szCs w:val="32"/>
        </w:rPr>
        <w:t xml:space="preserve">Neither of these </w:t>
      </w:r>
      <w:r w:rsidR="00626ED2">
        <w:rPr>
          <w:rFonts w:cs="Calibri"/>
          <w:sz w:val="32"/>
          <w:szCs w:val="32"/>
        </w:rPr>
        <w:t>is</w:t>
      </w:r>
      <w:r>
        <w:rPr>
          <w:rFonts w:cs="Calibri"/>
          <w:sz w:val="32"/>
          <w:szCs w:val="32"/>
        </w:rPr>
        <w:t xml:space="preserve"> likely to be available for a GP.</w:t>
      </w:r>
    </w:p>
    <w:p w14:paraId="27873F67" w14:textId="77777777" w:rsidR="00980808" w:rsidRPr="00567526" w:rsidRDefault="00980808" w:rsidP="006C24DD">
      <w:pPr>
        <w:rPr>
          <w:rFonts w:cs="Calibri"/>
          <w:sz w:val="32"/>
          <w:szCs w:val="32"/>
        </w:rPr>
      </w:pPr>
    </w:p>
    <w:p w14:paraId="0A9818A1" w14:textId="77777777" w:rsidR="006C24DD" w:rsidRDefault="007219D9" w:rsidP="006C24DD">
      <w:pPr>
        <w:pStyle w:val="Heading1"/>
        <w:rPr>
          <w:rFonts w:ascii="Calibri" w:hAnsi="Calibri" w:cs="Calibri"/>
          <w:b w:val="0"/>
        </w:rPr>
      </w:pPr>
      <w:r w:rsidRPr="007219D9">
        <w:rPr>
          <w:rFonts w:ascii="Calibri" w:hAnsi="Calibri" w:cs="Calibri"/>
          <w:b w:val="0"/>
        </w:rPr>
        <w:t xml:space="preserve">Article 14(5)(c), </w:t>
      </w:r>
      <w:r w:rsidR="00980808" w:rsidRPr="00567526">
        <w:rPr>
          <w:rFonts w:ascii="Calibri" w:hAnsi="Calibri" w:cs="Calibri"/>
          <w:b w:val="0"/>
        </w:rPr>
        <w:t>“</w:t>
      </w:r>
      <w:r w:rsidR="001B2E85" w:rsidRPr="00567526">
        <w:rPr>
          <w:rFonts w:ascii="Calibri" w:hAnsi="Calibri" w:cs="Calibri"/>
          <w:b w:val="0"/>
        </w:rPr>
        <w:t>The data controller is subject to a national law or EU law requirement to obtain or disclose the personal data and that the law provides appropriate protections for the data subject’s legitimate interests</w:t>
      </w:r>
      <w:r w:rsidR="00980808" w:rsidRPr="00567526">
        <w:rPr>
          <w:rFonts w:ascii="Calibri" w:hAnsi="Calibri" w:cs="Calibri"/>
          <w:b w:val="0"/>
        </w:rPr>
        <w:t>”</w:t>
      </w:r>
    </w:p>
    <w:p w14:paraId="07F59389" w14:textId="77777777" w:rsidR="005C4625" w:rsidRPr="005C4625" w:rsidRDefault="005C4625" w:rsidP="005C4625"/>
    <w:p w14:paraId="7329A756" w14:textId="77777777" w:rsidR="005C4625" w:rsidRPr="005C4625" w:rsidRDefault="007219D9" w:rsidP="005C4625">
      <w:pPr>
        <w:pStyle w:val="NoSpacing"/>
        <w:ind w:left="720"/>
        <w:rPr>
          <w:b/>
          <w:sz w:val="32"/>
          <w:szCs w:val="32"/>
          <w:u w:val="single"/>
        </w:rPr>
      </w:pPr>
      <w:r w:rsidRPr="005C4625">
        <w:rPr>
          <w:b/>
          <w:sz w:val="32"/>
          <w:szCs w:val="32"/>
          <w:u w:val="single"/>
        </w:rPr>
        <w:t>Law</w:t>
      </w:r>
    </w:p>
    <w:p w14:paraId="200593C4" w14:textId="77777777" w:rsidR="007219D9" w:rsidRPr="005C4625" w:rsidRDefault="00B72577" w:rsidP="005C4625">
      <w:pPr>
        <w:pStyle w:val="NoSpacing"/>
        <w:ind w:left="720"/>
        <w:rPr>
          <w:sz w:val="32"/>
          <w:szCs w:val="32"/>
        </w:rPr>
      </w:pPr>
      <w:r w:rsidRPr="005C4625">
        <w:rPr>
          <w:sz w:val="32"/>
          <w:szCs w:val="32"/>
        </w:rPr>
        <w:t>This is where a law requires a D</w:t>
      </w:r>
      <w:r w:rsidR="00567526" w:rsidRPr="005C4625">
        <w:rPr>
          <w:sz w:val="32"/>
          <w:szCs w:val="32"/>
        </w:rPr>
        <w:t>C</w:t>
      </w:r>
      <w:r w:rsidRPr="005C4625">
        <w:rPr>
          <w:sz w:val="32"/>
          <w:szCs w:val="32"/>
        </w:rPr>
        <w:t xml:space="preserve"> to </w:t>
      </w:r>
      <w:r w:rsidR="00567526" w:rsidRPr="005C4625">
        <w:rPr>
          <w:sz w:val="32"/>
          <w:szCs w:val="32"/>
        </w:rPr>
        <w:t>collect data on DSs from elsewhere. In that circumstance the DC is not bound to disclose that data to the DS. I cannot think of any circumstance where this will apply to GPs and their patients.</w:t>
      </w:r>
      <w:r w:rsidR="00FC046A">
        <w:rPr>
          <w:sz w:val="32"/>
          <w:szCs w:val="32"/>
        </w:rPr>
        <w:t xml:space="preserve"> Possibly safeguarding?</w:t>
      </w:r>
    </w:p>
    <w:p w14:paraId="1102940F" w14:textId="77777777" w:rsidR="001B2E85" w:rsidRPr="00567526" w:rsidRDefault="007219D9" w:rsidP="006C24DD">
      <w:pPr>
        <w:pStyle w:val="Heading1"/>
        <w:rPr>
          <w:rFonts w:ascii="Calibri" w:hAnsi="Calibri" w:cs="Calibri"/>
          <w:b w:val="0"/>
        </w:rPr>
      </w:pPr>
      <w:r>
        <w:rPr>
          <w:rFonts w:ascii="Calibri" w:hAnsi="Calibri" w:cs="Calibri"/>
          <w:b w:val="0"/>
        </w:rPr>
        <w:t>A</w:t>
      </w:r>
      <w:r w:rsidRPr="007219D9">
        <w:rPr>
          <w:rFonts w:ascii="Calibri" w:hAnsi="Calibri" w:cs="Calibri"/>
          <w:b w:val="0"/>
        </w:rPr>
        <w:t xml:space="preserve">rticle 14(5)(d), </w:t>
      </w:r>
      <w:r w:rsidR="00FC046A">
        <w:rPr>
          <w:rFonts w:ascii="Calibri" w:hAnsi="Calibri" w:cs="Calibri"/>
          <w:b w:val="0"/>
        </w:rPr>
        <w:t>“</w:t>
      </w:r>
      <w:r w:rsidR="001B2E85" w:rsidRPr="00567526">
        <w:rPr>
          <w:rFonts w:ascii="Calibri" w:hAnsi="Calibri" w:cs="Calibri"/>
          <w:b w:val="0"/>
        </w:rPr>
        <w:t>An obligation of professional secrecy (including a statutory obligation of secrecy) which is regulated by national or EU law means the personal data must remain confidential</w:t>
      </w:r>
      <w:r w:rsidR="00FC046A">
        <w:rPr>
          <w:rFonts w:ascii="Calibri" w:hAnsi="Calibri" w:cs="Calibri"/>
          <w:b w:val="0"/>
        </w:rPr>
        <w:t>”</w:t>
      </w:r>
      <w:r w:rsidR="001B2E85" w:rsidRPr="00567526">
        <w:rPr>
          <w:rFonts w:ascii="Calibri" w:hAnsi="Calibri" w:cs="Calibri"/>
          <w:b w:val="0"/>
        </w:rPr>
        <w:t xml:space="preserve">. </w:t>
      </w:r>
    </w:p>
    <w:p w14:paraId="2AF6AC5D" w14:textId="77777777" w:rsidR="007219D9" w:rsidRDefault="007219D9" w:rsidP="007219D9"/>
    <w:p w14:paraId="543F2601" w14:textId="77777777" w:rsidR="007219D9" w:rsidRPr="00567526" w:rsidRDefault="007219D9" w:rsidP="007219D9">
      <w:pPr>
        <w:ind w:left="720"/>
        <w:rPr>
          <w:rFonts w:cs="Calibri"/>
          <w:b/>
          <w:sz w:val="32"/>
          <w:szCs w:val="32"/>
          <w:u w:val="single"/>
        </w:rPr>
      </w:pPr>
      <w:r w:rsidRPr="00567526">
        <w:rPr>
          <w:rFonts w:cs="Calibri"/>
          <w:b/>
          <w:sz w:val="32"/>
          <w:szCs w:val="32"/>
          <w:u w:val="single"/>
        </w:rPr>
        <w:t>Professional secrecy</w:t>
      </w:r>
    </w:p>
    <w:p w14:paraId="15A1D360" w14:textId="77777777" w:rsidR="007219D9" w:rsidRPr="00567526" w:rsidRDefault="007219D9" w:rsidP="007219D9">
      <w:pPr>
        <w:ind w:left="720"/>
        <w:rPr>
          <w:rFonts w:cs="Calibri"/>
          <w:sz w:val="32"/>
          <w:szCs w:val="32"/>
        </w:rPr>
      </w:pPr>
      <w:r w:rsidRPr="00567526">
        <w:rPr>
          <w:rFonts w:cs="Calibri"/>
          <w:sz w:val="32"/>
          <w:szCs w:val="32"/>
        </w:rPr>
        <w:t xml:space="preserve">This is what GPs can rely </w:t>
      </w:r>
      <w:r w:rsidR="00626ED2">
        <w:rPr>
          <w:rFonts w:cs="Calibri"/>
          <w:sz w:val="32"/>
          <w:szCs w:val="32"/>
        </w:rPr>
        <w:t>o</w:t>
      </w:r>
      <w:r w:rsidR="00626ED2" w:rsidRPr="00567526">
        <w:rPr>
          <w:rFonts w:cs="Calibri"/>
          <w:sz w:val="32"/>
          <w:szCs w:val="32"/>
        </w:rPr>
        <w:t>n;</w:t>
      </w:r>
      <w:r w:rsidRPr="00567526">
        <w:rPr>
          <w:rFonts w:cs="Calibri"/>
          <w:sz w:val="32"/>
          <w:szCs w:val="32"/>
        </w:rPr>
        <w:t xml:space="preserve"> it’s </w:t>
      </w:r>
      <w:r w:rsidR="00745E89">
        <w:rPr>
          <w:rFonts w:cs="Calibri"/>
          <w:sz w:val="32"/>
          <w:szCs w:val="32"/>
        </w:rPr>
        <w:t xml:space="preserve">essentially </w:t>
      </w:r>
      <w:r w:rsidRPr="00567526">
        <w:rPr>
          <w:rFonts w:cs="Calibri"/>
          <w:sz w:val="32"/>
          <w:szCs w:val="32"/>
        </w:rPr>
        <w:t>the same as redacting 3</w:t>
      </w:r>
      <w:r w:rsidRPr="00567526">
        <w:rPr>
          <w:rFonts w:cs="Calibri"/>
          <w:sz w:val="32"/>
          <w:szCs w:val="32"/>
          <w:vertAlign w:val="superscript"/>
        </w:rPr>
        <w:t>rd</w:t>
      </w:r>
      <w:r w:rsidRPr="00567526">
        <w:rPr>
          <w:rFonts w:cs="Calibri"/>
          <w:sz w:val="32"/>
          <w:szCs w:val="32"/>
        </w:rPr>
        <w:t xml:space="preserve"> party information. You wouldn’t disclose comments about a 3</w:t>
      </w:r>
      <w:r w:rsidRPr="00567526">
        <w:rPr>
          <w:rFonts w:cs="Calibri"/>
          <w:sz w:val="32"/>
          <w:szCs w:val="32"/>
          <w:vertAlign w:val="superscript"/>
        </w:rPr>
        <w:t>rd</w:t>
      </w:r>
      <w:r w:rsidRPr="00567526">
        <w:rPr>
          <w:rFonts w:cs="Calibri"/>
          <w:sz w:val="32"/>
          <w:szCs w:val="32"/>
        </w:rPr>
        <w:t xml:space="preserve"> party to the DS</w:t>
      </w:r>
      <w:r w:rsidR="00D92159">
        <w:rPr>
          <w:rFonts w:cs="Calibri"/>
          <w:sz w:val="32"/>
          <w:szCs w:val="32"/>
        </w:rPr>
        <w:t>, the exception to this exception being the identity of others involved in the care of the patient</w:t>
      </w:r>
      <w:r w:rsidRPr="00567526">
        <w:rPr>
          <w:rFonts w:cs="Calibri"/>
          <w:sz w:val="32"/>
          <w:szCs w:val="32"/>
        </w:rPr>
        <w:t xml:space="preserve">. </w:t>
      </w:r>
    </w:p>
    <w:p w14:paraId="7C36C9A3" w14:textId="77777777" w:rsidR="007219D9" w:rsidRPr="00567526" w:rsidRDefault="007219D9" w:rsidP="007219D9">
      <w:pPr>
        <w:rPr>
          <w:rFonts w:cs="Calibri"/>
          <w:sz w:val="32"/>
          <w:szCs w:val="32"/>
        </w:rPr>
      </w:pPr>
    </w:p>
    <w:p w14:paraId="5CE26228" w14:textId="77777777" w:rsidR="00D92159" w:rsidRPr="00567526" w:rsidRDefault="00D92159" w:rsidP="00D92159">
      <w:pPr>
        <w:rPr>
          <w:rFonts w:cs="Calibri"/>
          <w:b/>
          <w:sz w:val="32"/>
          <w:szCs w:val="32"/>
          <w:u w:val="single"/>
        </w:rPr>
      </w:pPr>
      <w:r w:rsidRPr="00567526">
        <w:rPr>
          <w:rFonts w:cs="Calibri"/>
          <w:b/>
          <w:sz w:val="32"/>
          <w:szCs w:val="32"/>
          <w:u w:val="single"/>
        </w:rPr>
        <w:t xml:space="preserve">Other </w:t>
      </w:r>
      <w:r w:rsidR="00745E89">
        <w:rPr>
          <w:rFonts w:cs="Calibri"/>
          <w:b/>
          <w:sz w:val="32"/>
          <w:szCs w:val="32"/>
          <w:u w:val="single"/>
        </w:rPr>
        <w:t xml:space="preserve">general </w:t>
      </w:r>
      <w:r w:rsidRPr="00567526">
        <w:rPr>
          <w:rFonts w:cs="Calibri"/>
          <w:b/>
          <w:sz w:val="32"/>
          <w:szCs w:val="32"/>
          <w:u w:val="single"/>
        </w:rPr>
        <w:t>exceptions</w:t>
      </w:r>
    </w:p>
    <w:p w14:paraId="73DC80C1" w14:textId="77777777" w:rsidR="001B2E85" w:rsidRPr="005C4625" w:rsidRDefault="001B2E85" w:rsidP="001B2E85">
      <w:pPr>
        <w:rPr>
          <w:rFonts w:eastAsia="Times New Roman" w:cs="Calibri"/>
          <w:sz w:val="32"/>
          <w:szCs w:val="32"/>
          <w:lang w:eastAsia="en-GB"/>
        </w:rPr>
      </w:pPr>
    </w:p>
    <w:p w14:paraId="6D445F5A" w14:textId="77777777" w:rsidR="00745E89" w:rsidRDefault="00D92159" w:rsidP="001B2E85">
      <w:pPr>
        <w:rPr>
          <w:rFonts w:eastAsia="Times New Roman" w:cs="Calibri"/>
          <w:sz w:val="32"/>
          <w:szCs w:val="32"/>
          <w:lang w:eastAsia="en-GB"/>
        </w:rPr>
      </w:pPr>
      <w:r w:rsidRPr="005C4625">
        <w:rPr>
          <w:rFonts w:eastAsia="Times New Roman" w:cs="Calibri"/>
          <w:sz w:val="32"/>
          <w:szCs w:val="32"/>
          <w:lang w:eastAsia="en-GB"/>
        </w:rPr>
        <w:t xml:space="preserve">And remember these other more generic exceptions; </w:t>
      </w:r>
    </w:p>
    <w:p w14:paraId="730AE79E" w14:textId="77777777" w:rsidR="00FC046A" w:rsidRDefault="00FC046A" w:rsidP="001B2E85">
      <w:pPr>
        <w:rPr>
          <w:rFonts w:eastAsia="Times New Roman" w:cs="Calibri"/>
          <w:sz w:val="32"/>
          <w:szCs w:val="32"/>
          <w:lang w:eastAsia="en-GB"/>
        </w:rPr>
      </w:pPr>
    </w:p>
    <w:p w14:paraId="04649635" w14:textId="77777777" w:rsidR="00745E89" w:rsidRDefault="00745E89" w:rsidP="00745E89">
      <w:pPr>
        <w:ind w:left="720"/>
        <w:rPr>
          <w:rFonts w:eastAsia="Times New Roman" w:cs="Calibri"/>
          <w:sz w:val="32"/>
          <w:szCs w:val="32"/>
          <w:lang w:eastAsia="en-GB"/>
        </w:rPr>
      </w:pPr>
      <w:r>
        <w:rPr>
          <w:rFonts w:eastAsia="Times New Roman" w:cs="Calibri"/>
          <w:sz w:val="32"/>
          <w:szCs w:val="32"/>
          <w:lang w:eastAsia="en-GB"/>
        </w:rPr>
        <w:t>Y</w:t>
      </w:r>
      <w:r w:rsidR="00D92159" w:rsidRPr="005C4625">
        <w:rPr>
          <w:rFonts w:eastAsia="Times New Roman" w:cs="Calibri"/>
          <w:sz w:val="32"/>
          <w:szCs w:val="32"/>
          <w:lang w:eastAsia="en-GB"/>
        </w:rPr>
        <w:t xml:space="preserve">ou shouldn’t disclose anything that </w:t>
      </w:r>
      <w:r>
        <w:rPr>
          <w:rFonts w:eastAsia="Times New Roman" w:cs="Calibri"/>
          <w:sz w:val="32"/>
          <w:szCs w:val="32"/>
          <w:lang w:eastAsia="en-GB"/>
        </w:rPr>
        <w:t xml:space="preserve">identifies any other DS. The only exception to this is the identity of people involved in the care of the DS, such as community staff or hospital specialists, they are not exempt. </w:t>
      </w:r>
    </w:p>
    <w:p w14:paraId="21E321D5" w14:textId="77777777" w:rsidR="00745E89" w:rsidRDefault="00745E89" w:rsidP="00745E89">
      <w:pPr>
        <w:ind w:left="720"/>
        <w:rPr>
          <w:rFonts w:eastAsia="Times New Roman" w:cs="Calibri"/>
          <w:sz w:val="32"/>
          <w:szCs w:val="32"/>
          <w:lang w:eastAsia="en-GB"/>
        </w:rPr>
      </w:pPr>
    </w:p>
    <w:p w14:paraId="2195B329" w14:textId="77777777" w:rsidR="00745E89" w:rsidRDefault="00745E89" w:rsidP="00745E89">
      <w:pPr>
        <w:ind w:left="720"/>
        <w:rPr>
          <w:rFonts w:eastAsia="Times New Roman" w:cs="Calibri"/>
          <w:sz w:val="32"/>
          <w:szCs w:val="32"/>
          <w:lang w:eastAsia="en-GB"/>
        </w:rPr>
      </w:pPr>
      <w:r>
        <w:rPr>
          <w:rFonts w:eastAsia="Times New Roman" w:cs="Calibri"/>
          <w:sz w:val="32"/>
          <w:szCs w:val="32"/>
          <w:lang w:eastAsia="en-GB"/>
        </w:rPr>
        <w:t xml:space="preserve">You mustn’t disclose anything that is </w:t>
      </w:r>
      <w:r w:rsidR="00D92159" w:rsidRPr="005C4625">
        <w:rPr>
          <w:rFonts w:eastAsia="Times New Roman" w:cs="Calibri"/>
          <w:sz w:val="32"/>
          <w:szCs w:val="32"/>
          <w:lang w:eastAsia="en-GB"/>
        </w:rPr>
        <w:t xml:space="preserve">likely to result in </w:t>
      </w:r>
      <w:r w:rsidRPr="005C4625">
        <w:rPr>
          <w:rFonts w:eastAsia="Times New Roman" w:cs="Calibri"/>
          <w:sz w:val="32"/>
          <w:szCs w:val="32"/>
          <w:lang w:eastAsia="en-GB"/>
        </w:rPr>
        <w:t>harm</w:t>
      </w:r>
      <w:r w:rsidR="00D92159" w:rsidRPr="005C4625">
        <w:rPr>
          <w:rFonts w:eastAsia="Times New Roman" w:cs="Calibri"/>
          <w:sz w:val="32"/>
          <w:szCs w:val="32"/>
          <w:lang w:eastAsia="en-GB"/>
        </w:rPr>
        <w:t xml:space="preserve"> to the </w:t>
      </w:r>
      <w:r>
        <w:rPr>
          <w:rFonts w:eastAsia="Times New Roman" w:cs="Calibri"/>
          <w:sz w:val="32"/>
          <w:szCs w:val="32"/>
          <w:lang w:eastAsia="en-GB"/>
        </w:rPr>
        <w:t>DS</w:t>
      </w:r>
      <w:r w:rsidR="00D92159" w:rsidRPr="005C4625">
        <w:rPr>
          <w:rFonts w:eastAsia="Times New Roman" w:cs="Calibri"/>
          <w:sz w:val="32"/>
          <w:szCs w:val="32"/>
          <w:lang w:eastAsia="en-GB"/>
        </w:rPr>
        <w:t xml:space="preserve"> or anyone else</w:t>
      </w:r>
      <w:r>
        <w:rPr>
          <w:rFonts w:eastAsia="Times New Roman" w:cs="Calibri"/>
          <w:sz w:val="32"/>
          <w:szCs w:val="32"/>
          <w:lang w:eastAsia="en-GB"/>
        </w:rPr>
        <w:t>.</w:t>
      </w:r>
    </w:p>
    <w:p w14:paraId="0706EA04" w14:textId="77777777" w:rsidR="00745E89" w:rsidRDefault="00745E89" w:rsidP="00745E89">
      <w:pPr>
        <w:ind w:left="720"/>
        <w:rPr>
          <w:rFonts w:eastAsia="Times New Roman" w:cs="Calibri"/>
          <w:sz w:val="32"/>
          <w:szCs w:val="32"/>
          <w:lang w:eastAsia="en-GB"/>
        </w:rPr>
      </w:pPr>
    </w:p>
    <w:p w14:paraId="2F4C3ED2" w14:textId="77777777" w:rsidR="005C4625" w:rsidRPr="005C4625" w:rsidRDefault="00745E89" w:rsidP="00745E89">
      <w:pPr>
        <w:ind w:left="720"/>
        <w:rPr>
          <w:rFonts w:eastAsia="Times New Roman" w:cs="Calibri"/>
          <w:sz w:val="32"/>
          <w:szCs w:val="32"/>
          <w:lang w:eastAsia="en-GB"/>
        </w:rPr>
      </w:pPr>
      <w:r>
        <w:rPr>
          <w:rFonts w:eastAsia="Times New Roman" w:cs="Calibri"/>
          <w:sz w:val="32"/>
          <w:szCs w:val="32"/>
          <w:lang w:eastAsia="en-GB"/>
        </w:rPr>
        <w:t xml:space="preserve">You mustn’t disclose anything </w:t>
      </w:r>
      <w:r w:rsidR="00D92159" w:rsidRPr="005C4625">
        <w:rPr>
          <w:rFonts w:eastAsia="Times New Roman" w:cs="Calibri"/>
          <w:sz w:val="32"/>
          <w:szCs w:val="32"/>
          <w:lang w:eastAsia="en-GB"/>
        </w:rPr>
        <w:t xml:space="preserve">subject to a court order or </w:t>
      </w:r>
      <w:r>
        <w:rPr>
          <w:rFonts w:eastAsia="Times New Roman" w:cs="Calibri"/>
          <w:sz w:val="32"/>
          <w:szCs w:val="32"/>
          <w:lang w:eastAsia="en-GB"/>
        </w:rPr>
        <w:t xml:space="preserve">that </w:t>
      </w:r>
      <w:r w:rsidR="00D92159" w:rsidRPr="005C4625">
        <w:rPr>
          <w:rFonts w:eastAsia="Times New Roman" w:cs="Calibri"/>
          <w:sz w:val="32"/>
          <w:szCs w:val="32"/>
          <w:lang w:eastAsia="en-GB"/>
        </w:rPr>
        <w:t>is privilege</w:t>
      </w:r>
      <w:r>
        <w:rPr>
          <w:rFonts w:eastAsia="Times New Roman" w:cs="Calibri"/>
          <w:sz w:val="32"/>
          <w:szCs w:val="32"/>
          <w:lang w:eastAsia="en-GB"/>
        </w:rPr>
        <w:t>d</w:t>
      </w:r>
      <w:r w:rsidR="00D92159" w:rsidRPr="005C4625">
        <w:rPr>
          <w:rFonts w:eastAsia="Times New Roman" w:cs="Calibri"/>
          <w:sz w:val="32"/>
          <w:szCs w:val="32"/>
          <w:lang w:eastAsia="en-GB"/>
        </w:rPr>
        <w:t xml:space="preserve"> or subject to fertilisation </w:t>
      </w:r>
      <w:r w:rsidR="005C4625" w:rsidRPr="005C4625">
        <w:rPr>
          <w:rFonts w:eastAsia="Times New Roman" w:cs="Calibri"/>
          <w:sz w:val="32"/>
          <w:szCs w:val="32"/>
          <w:lang w:eastAsia="en-GB"/>
        </w:rPr>
        <w:t xml:space="preserve">or adoption </w:t>
      </w:r>
      <w:r w:rsidR="00D92159" w:rsidRPr="005C4625">
        <w:rPr>
          <w:rFonts w:eastAsia="Times New Roman" w:cs="Calibri"/>
          <w:sz w:val="32"/>
          <w:szCs w:val="32"/>
          <w:lang w:eastAsia="en-GB"/>
        </w:rPr>
        <w:t>legislation</w:t>
      </w:r>
      <w:r w:rsidR="005C4625" w:rsidRPr="005C4625">
        <w:rPr>
          <w:rFonts w:eastAsia="Times New Roman" w:cs="Calibri"/>
          <w:sz w:val="32"/>
          <w:szCs w:val="32"/>
          <w:lang w:eastAsia="en-GB"/>
        </w:rPr>
        <w:t>.</w:t>
      </w:r>
    </w:p>
    <w:p w14:paraId="1B12CDF1" w14:textId="77777777" w:rsidR="00D92159" w:rsidRDefault="00D92159" w:rsidP="001B2E85">
      <w:pPr>
        <w:rPr>
          <w:rFonts w:ascii="Times New Roman" w:eastAsia="Times New Roman" w:hAnsi="Times New Roman"/>
          <w:sz w:val="24"/>
          <w:szCs w:val="24"/>
          <w:lang w:eastAsia="en-GB"/>
        </w:rPr>
      </w:pPr>
    </w:p>
    <w:p w14:paraId="3B734D40" w14:textId="77777777" w:rsidR="00D92159" w:rsidRPr="00F41AAE" w:rsidRDefault="00D92159" w:rsidP="001B2E85">
      <w:pPr>
        <w:rPr>
          <w:rFonts w:ascii="Times New Roman" w:eastAsia="Times New Roman" w:hAnsi="Times New Roman"/>
          <w:vanish/>
          <w:sz w:val="24"/>
          <w:szCs w:val="24"/>
          <w:lang w:eastAsia="en-GB"/>
        </w:rPr>
      </w:pPr>
    </w:p>
    <w:p w14:paraId="51675AA7" w14:textId="77777777" w:rsidR="001B2E85" w:rsidRPr="00F41AAE" w:rsidRDefault="001B2E85" w:rsidP="001B2E85">
      <w:pPr>
        <w:rPr>
          <w:rFonts w:ascii="Times New Roman" w:eastAsia="Times New Roman" w:hAnsi="Times New Roman"/>
          <w:vanish/>
          <w:sz w:val="24"/>
          <w:szCs w:val="24"/>
          <w:lang w:eastAsia="en-GB"/>
        </w:rPr>
      </w:pPr>
    </w:p>
    <w:p w14:paraId="050DA0AC" w14:textId="77777777" w:rsidR="001B2E85" w:rsidRPr="00F41AAE" w:rsidRDefault="001B2E85" w:rsidP="001B2E85">
      <w:pPr>
        <w:rPr>
          <w:rFonts w:ascii="Times New Roman" w:eastAsia="Times New Roman" w:hAnsi="Times New Roman"/>
          <w:vanish/>
          <w:sz w:val="24"/>
          <w:szCs w:val="24"/>
          <w:lang w:eastAsia="en-GB"/>
        </w:rPr>
      </w:pPr>
    </w:p>
    <w:p w14:paraId="76D99E74" w14:textId="77777777" w:rsidR="00443638" w:rsidRPr="00567526" w:rsidRDefault="00443638" w:rsidP="00443638">
      <w:pPr>
        <w:rPr>
          <w:rFonts w:cs="Calibri"/>
          <w:b/>
          <w:sz w:val="32"/>
          <w:szCs w:val="32"/>
          <w:u w:val="single"/>
        </w:rPr>
      </w:pPr>
      <w:r w:rsidRPr="00567526">
        <w:rPr>
          <w:rFonts w:cs="Calibri"/>
          <w:b/>
          <w:sz w:val="32"/>
          <w:szCs w:val="32"/>
          <w:u w:val="single"/>
        </w:rPr>
        <w:t>Do I have to provide SARs on USB sticks or CDs?</w:t>
      </w:r>
    </w:p>
    <w:p w14:paraId="15A0BC48" w14:textId="77777777" w:rsidR="003F12E1" w:rsidRPr="00567526" w:rsidRDefault="003F12E1" w:rsidP="00443638">
      <w:pPr>
        <w:rPr>
          <w:rFonts w:cs="Calibri"/>
          <w:b/>
          <w:sz w:val="32"/>
          <w:szCs w:val="32"/>
        </w:rPr>
      </w:pPr>
    </w:p>
    <w:p w14:paraId="5263DE9C" w14:textId="77777777" w:rsidR="00443638" w:rsidRPr="00567526" w:rsidRDefault="00443638" w:rsidP="00443638">
      <w:pPr>
        <w:rPr>
          <w:rFonts w:cs="Calibri"/>
          <w:sz w:val="32"/>
          <w:szCs w:val="32"/>
        </w:rPr>
      </w:pPr>
      <w:r w:rsidRPr="00567526">
        <w:rPr>
          <w:rFonts w:cs="Calibri"/>
          <w:sz w:val="32"/>
          <w:szCs w:val="32"/>
        </w:rPr>
        <w:t>No. You can agree the medium with the DS. GDPR and the ICO are very much in favour of electronic SARs</w:t>
      </w:r>
      <w:r w:rsidR="00A664BF" w:rsidRPr="00567526">
        <w:rPr>
          <w:rFonts w:cs="Calibri"/>
          <w:sz w:val="32"/>
          <w:szCs w:val="32"/>
        </w:rPr>
        <w:t xml:space="preserve"> and TSARs</w:t>
      </w:r>
      <w:r w:rsidRPr="00567526">
        <w:rPr>
          <w:rFonts w:cs="Calibri"/>
          <w:sz w:val="32"/>
          <w:szCs w:val="32"/>
        </w:rPr>
        <w:t xml:space="preserve">. If the SAR </w:t>
      </w:r>
      <w:r w:rsidR="00A664BF">
        <w:rPr>
          <w:rFonts w:cs="Calibri"/>
          <w:sz w:val="32"/>
          <w:szCs w:val="32"/>
        </w:rPr>
        <w:t xml:space="preserve">or </w:t>
      </w:r>
      <w:r w:rsidR="00A664BF" w:rsidRPr="00A664BF">
        <w:rPr>
          <w:rFonts w:cs="Calibri"/>
          <w:sz w:val="32"/>
          <w:szCs w:val="32"/>
        </w:rPr>
        <w:t xml:space="preserve">TSAR </w:t>
      </w:r>
      <w:r w:rsidRPr="00567526">
        <w:rPr>
          <w:rFonts w:cs="Calibri"/>
          <w:sz w:val="32"/>
          <w:szCs w:val="32"/>
        </w:rPr>
        <w:t xml:space="preserve">request is made electronically it is expected that the response will be provided electronically. </w:t>
      </w:r>
      <w:r w:rsidR="00FC046A">
        <w:rPr>
          <w:rFonts w:cs="Calibri"/>
          <w:sz w:val="32"/>
          <w:szCs w:val="32"/>
        </w:rPr>
        <w:t>Copies, unfounded or excessive records could be provide on fobs, CDs or cards but these would all be chargeable</w:t>
      </w:r>
      <w:r w:rsidRPr="00567526">
        <w:rPr>
          <w:rFonts w:cs="Calibri"/>
          <w:sz w:val="32"/>
          <w:szCs w:val="32"/>
        </w:rPr>
        <w:t xml:space="preserve">. </w:t>
      </w:r>
    </w:p>
    <w:p w14:paraId="5C5FF950" w14:textId="77777777" w:rsidR="003F12E1" w:rsidRPr="00567526" w:rsidRDefault="003F12E1" w:rsidP="00443638">
      <w:pPr>
        <w:rPr>
          <w:rFonts w:cs="Calibri"/>
          <w:b/>
          <w:sz w:val="32"/>
          <w:szCs w:val="32"/>
        </w:rPr>
      </w:pPr>
    </w:p>
    <w:p w14:paraId="68EC4874" w14:textId="77777777" w:rsidR="00443638" w:rsidRPr="00567526" w:rsidRDefault="00443638" w:rsidP="00443638">
      <w:pPr>
        <w:rPr>
          <w:rFonts w:cs="Calibri"/>
          <w:b/>
          <w:sz w:val="32"/>
          <w:szCs w:val="32"/>
          <w:u w:val="single"/>
        </w:rPr>
      </w:pPr>
      <w:r w:rsidRPr="00567526">
        <w:rPr>
          <w:rFonts w:cs="Calibri"/>
          <w:b/>
          <w:sz w:val="32"/>
          <w:szCs w:val="32"/>
          <w:u w:val="single"/>
        </w:rPr>
        <w:t>Under the DPA insurers tried to get around the Access to Medical Records Act by getting patients to “request” SARs which were then forwarded to the insurer. Why won’t they use this new “modified SAR” option to do the same again?</w:t>
      </w:r>
    </w:p>
    <w:p w14:paraId="4BA4748A" w14:textId="77777777" w:rsidR="003F12E1" w:rsidRPr="00567526" w:rsidRDefault="003F12E1" w:rsidP="00443638">
      <w:pPr>
        <w:rPr>
          <w:rFonts w:cs="Calibri"/>
          <w:sz w:val="32"/>
          <w:szCs w:val="32"/>
        </w:rPr>
      </w:pPr>
    </w:p>
    <w:p w14:paraId="7F17A945" w14:textId="77777777" w:rsidR="00443638" w:rsidRDefault="00443638" w:rsidP="00443638">
      <w:pPr>
        <w:rPr>
          <w:rFonts w:cs="Calibri"/>
          <w:sz w:val="32"/>
          <w:szCs w:val="32"/>
        </w:rPr>
      </w:pPr>
      <w:r w:rsidRPr="00567526">
        <w:rPr>
          <w:rFonts w:cs="Calibri"/>
          <w:sz w:val="32"/>
          <w:szCs w:val="32"/>
        </w:rPr>
        <w:t xml:space="preserve">Because clause 181 of the Data Protection Bill will extend the offence of “enforced subject access”, i.e. where a patient is being coerced </w:t>
      </w:r>
      <w:r w:rsidR="00EE380D" w:rsidRPr="00567526">
        <w:rPr>
          <w:rFonts w:cs="Calibri"/>
          <w:sz w:val="32"/>
          <w:szCs w:val="32"/>
        </w:rPr>
        <w:t xml:space="preserve">or tricked </w:t>
      </w:r>
      <w:r w:rsidRPr="00567526">
        <w:rPr>
          <w:rFonts w:cs="Calibri"/>
          <w:sz w:val="32"/>
          <w:szCs w:val="32"/>
        </w:rPr>
        <w:t xml:space="preserve">into providing a SAR </w:t>
      </w:r>
      <w:r w:rsidR="00FC046A">
        <w:rPr>
          <w:rFonts w:cs="Calibri"/>
          <w:sz w:val="32"/>
          <w:szCs w:val="32"/>
        </w:rPr>
        <w:t xml:space="preserve">derived copy of their records </w:t>
      </w:r>
      <w:r w:rsidRPr="00567526">
        <w:rPr>
          <w:rFonts w:cs="Calibri"/>
          <w:sz w:val="32"/>
          <w:szCs w:val="32"/>
        </w:rPr>
        <w:t xml:space="preserve">to support an application, to </w:t>
      </w:r>
      <w:r w:rsidR="00FC046A">
        <w:rPr>
          <w:rFonts w:cs="Calibri"/>
          <w:sz w:val="32"/>
          <w:szCs w:val="32"/>
        </w:rPr>
        <w:t>include</w:t>
      </w:r>
      <w:r w:rsidRPr="00567526">
        <w:rPr>
          <w:rFonts w:cs="Calibri"/>
          <w:sz w:val="32"/>
          <w:szCs w:val="32"/>
        </w:rPr>
        <w:t xml:space="preserve"> medical records. </w:t>
      </w:r>
      <w:r w:rsidR="00B378DE">
        <w:rPr>
          <w:rFonts w:cs="Calibri"/>
          <w:sz w:val="32"/>
          <w:szCs w:val="32"/>
        </w:rPr>
        <w:t xml:space="preserve">This now becomes a criminal offence. </w:t>
      </w:r>
      <w:r w:rsidRPr="00567526">
        <w:rPr>
          <w:rFonts w:cs="Calibri"/>
          <w:sz w:val="32"/>
          <w:szCs w:val="32"/>
        </w:rPr>
        <w:t xml:space="preserve">Insurers will not want to be found guilty of the crime of enforced subject access. If any GP suspects that an insurer is doing </w:t>
      </w:r>
      <w:r w:rsidR="00EE380D" w:rsidRPr="00567526">
        <w:rPr>
          <w:rFonts w:cs="Calibri"/>
          <w:sz w:val="32"/>
          <w:szCs w:val="32"/>
        </w:rPr>
        <w:t>this,</w:t>
      </w:r>
      <w:r w:rsidRPr="00567526">
        <w:rPr>
          <w:rFonts w:cs="Calibri"/>
          <w:sz w:val="32"/>
          <w:szCs w:val="32"/>
        </w:rPr>
        <w:t xml:space="preserve"> they should report them to the ICO and the ABI. As a reminder the </w:t>
      </w:r>
      <w:hyperlink r:id="rId6" w:history="1">
        <w:r w:rsidRPr="00567526">
          <w:rPr>
            <w:rStyle w:val="Hyperlink"/>
            <w:rFonts w:cs="Calibri"/>
            <w:sz w:val="32"/>
            <w:szCs w:val="32"/>
          </w:rPr>
          <w:t xml:space="preserve">ABI </w:t>
        </w:r>
      </w:hyperlink>
      <w:r w:rsidRPr="00567526">
        <w:rPr>
          <w:rFonts w:cs="Calibri"/>
          <w:sz w:val="32"/>
          <w:szCs w:val="32"/>
        </w:rPr>
        <w:t xml:space="preserve"> and the </w:t>
      </w:r>
      <w:hyperlink r:id="rId7" w:history="1">
        <w:r w:rsidRPr="00567526">
          <w:rPr>
            <w:rStyle w:val="Hyperlink"/>
            <w:rFonts w:cs="Calibri"/>
            <w:sz w:val="32"/>
            <w:szCs w:val="32"/>
          </w:rPr>
          <w:t>BMA</w:t>
        </w:r>
      </w:hyperlink>
      <w:r w:rsidRPr="00567526">
        <w:rPr>
          <w:rFonts w:cs="Calibri"/>
          <w:sz w:val="32"/>
          <w:szCs w:val="32"/>
        </w:rPr>
        <w:t xml:space="preserve"> have issued </w:t>
      </w:r>
      <w:r w:rsidR="00A81751" w:rsidRPr="00567526">
        <w:rPr>
          <w:rFonts w:cs="Calibri"/>
          <w:sz w:val="32"/>
          <w:szCs w:val="32"/>
        </w:rPr>
        <w:t>guidance</w:t>
      </w:r>
      <w:r w:rsidRPr="00567526">
        <w:rPr>
          <w:rFonts w:cs="Calibri"/>
          <w:sz w:val="32"/>
          <w:szCs w:val="32"/>
        </w:rPr>
        <w:t xml:space="preserve"> previously and this is unchanged under GDPR.</w:t>
      </w:r>
    </w:p>
    <w:p w14:paraId="49C5C5C9" w14:textId="77777777" w:rsidR="00615794" w:rsidRDefault="00615794" w:rsidP="00443638">
      <w:pPr>
        <w:rPr>
          <w:rFonts w:cs="Calibri"/>
          <w:sz w:val="32"/>
          <w:szCs w:val="32"/>
        </w:rPr>
      </w:pPr>
    </w:p>
    <w:p w14:paraId="43418477" w14:textId="77777777" w:rsidR="00615794" w:rsidRPr="00615794" w:rsidRDefault="00615794" w:rsidP="00443638">
      <w:pPr>
        <w:rPr>
          <w:rFonts w:cs="Calibri"/>
          <w:b/>
          <w:sz w:val="32"/>
          <w:szCs w:val="32"/>
          <w:u w:val="single"/>
        </w:rPr>
      </w:pPr>
      <w:r w:rsidRPr="00615794">
        <w:rPr>
          <w:rFonts w:cs="Calibri"/>
          <w:b/>
          <w:sz w:val="32"/>
          <w:szCs w:val="32"/>
          <w:u w:val="single"/>
        </w:rPr>
        <w:t>So what happens when we get a solicitor’s letter?</w:t>
      </w:r>
    </w:p>
    <w:p w14:paraId="438397E8" w14:textId="77777777" w:rsidR="00615794" w:rsidRDefault="00615794" w:rsidP="00443638">
      <w:pPr>
        <w:rPr>
          <w:rFonts w:cs="Calibri"/>
          <w:sz w:val="32"/>
          <w:szCs w:val="32"/>
        </w:rPr>
      </w:pPr>
    </w:p>
    <w:p w14:paraId="2A676E7B" w14:textId="77777777" w:rsidR="00615794" w:rsidRDefault="00615794" w:rsidP="00443638">
      <w:pPr>
        <w:rPr>
          <w:rFonts w:cs="Calibri"/>
          <w:sz w:val="32"/>
          <w:szCs w:val="32"/>
        </w:rPr>
      </w:pPr>
      <w:r>
        <w:rPr>
          <w:rFonts w:cs="Calibri"/>
          <w:sz w:val="32"/>
          <w:szCs w:val="32"/>
        </w:rPr>
        <w:t>Depends what it says and what its asking for. If its unclear seek clarification.</w:t>
      </w:r>
    </w:p>
    <w:p w14:paraId="5D063E4C" w14:textId="77777777" w:rsidR="00615794" w:rsidRDefault="00615794" w:rsidP="00443638">
      <w:pPr>
        <w:rPr>
          <w:rFonts w:cs="Calibri"/>
          <w:sz w:val="32"/>
          <w:szCs w:val="32"/>
        </w:rPr>
      </w:pPr>
    </w:p>
    <w:p w14:paraId="5390CCBD" w14:textId="77777777" w:rsidR="00615794" w:rsidRPr="00615794" w:rsidRDefault="00615794" w:rsidP="00443638">
      <w:pPr>
        <w:rPr>
          <w:rFonts w:cs="Calibri"/>
          <w:b/>
          <w:sz w:val="32"/>
          <w:szCs w:val="32"/>
          <w:u w:val="single"/>
        </w:rPr>
      </w:pPr>
      <w:r w:rsidRPr="00615794">
        <w:rPr>
          <w:rFonts w:cs="Calibri"/>
          <w:b/>
          <w:sz w:val="32"/>
          <w:szCs w:val="32"/>
          <w:u w:val="single"/>
        </w:rPr>
        <w:t>Can a solicitor ask for a SAR or TSAR?</w:t>
      </w:r>
    </w:p>
    <w:p w14:paraId="750B5469" w14:textId="77777777" w:rsidR="00615794" w:rsidRDefault="00615794" w:rsidP="00443638">
      <w:pPr>
        <w:rPr>
          <w:rFonts w:cs="Calibri"/>
          <w:sz w:val="32"/>
          <w:szCs w:val="32"/>
        </w:rPr>
      </w:pPr>
    </w:p>
    <w:p w14:paraId="4EB2339C" w14:textId="77777777" w:rsidR="00615794" w:rsidRDefault="00615794" w:rsidP="00443638">
      <w:pPr>
        <w:rPr>
          <w:rFonts w:cs="Calibri"/>
          <w:sz w:val="32"/>
          <w:szCs w:val="32"/>
        </w:rPr>
      </w:pPr>
      <w:r>
        <w:rPr>
          <w:rFonts w:cs="Calibri"/>
          <w:sz w:val="32"/>
          <w:szCs w:val="32"/>
        </w:rPr>
        <w:t xml:space="preserve">Yes, third parties and legal representatives can ask for SARs and TSARs on behalf of the DS. What they cannot do is seek a SAR or TSAR to support an application </w:t>
      </w:r>
      <w:r w:rsidR="00B378DE">
        <w:rPr>
          <w:rFonts w:cs="Calibri"/>
          <w:sz w:val="32"/>
          <w:szCs w:val="32"/>
        </w:rPr>
        <w:t xml:space="preserve">that should be made </w:t>
      </w:r>
      <w:r>
        <w:rPr>
          <w:rFonts w:cs="Calibri"/>
          <w:sz w:val="32"/>
          <w:szCs w:val="32"/>
        </w:rPr>
        <w:t>under the Access to Medical Reports Act.</w:t>
      </w:r>
    </w:p>
    <w:p w14:paraId="2572BE11" w14:textId="77777777" w:rsidR="00615794" w:rsidRDefault="00615794" w:rsidP="00443638">
      <w:pPr>
        <w:rPr>
          <w:rFonts w:cs="Calibri"/>
          <w:sz w:val="32"/>
          <w:szCs w:val="32"/>
        </w:rPr>
      </w:pPr>
    </w:p>
    <w:p w14:paraId="3DF25636" w14:textId="77777777" w:rsidR="00615794" w:rsidRPr="00F66DF6" w:rsidRDefault="00615794" w:rsidP="00443638">
      <w:pPr>
        <w:rPr>
          <w:rFonts w:cs="Calibri"/>
          <w:b/>
          <w:sz w:val="32"/>
          <w:szCs w:val="32"/>
          <w:u w:val="single"/>
        </w:rPr>
      </w:pPr>
      <w:r w:rsidRPr="00F66DF6">
        <w:rPr>
          <w:rFonts w:cs="Calibri"/>
          <w:b/>
          <w:sz w:val="32"/>
          <w:szCs w:val="32"/>
          <w:u w:val="single"/>
        </w:rPr>
        <w:t>How do I tell the difference?</w:t>
      </w:r>
    </w:p>
    <w:p w14:paraId="14E22CC3" w14:textId="77777777" w:rsidR="00615794" w:rsidRDefault="00615794" w:rsidP="00443638">
      <w:pPr>
        <w:rPr>
          <w:rFonts w:cs="Calibri"/>
          <w:sz w:val="32"/>
          <w:szCs w:val="32"/>
        </w:rPr>
      </w:pPr>
    </w:p>
    <w:p w14:paraId="43DBF1D5" w14:textId="77777777" w:rsidR="00F66DF6" w:rsidRDefault="00615794" w:rsidP="00443638">
      <w:pPr>
        <w:rPr>
          <w:rFonts w:cs="Calibri"/>
          <w:sz w:val="32"/>
          <w:szCs w:val="32"/>
        </w:rPr>
      </w:pPr>
      <w:r>
        <w:rPr>
          <w:rFonts w:cs="Calibri"/>
          <w:sz w:val="32"/>
          <w:szCs w:val="32"/>
        </w:rPr>
        <w:t xml:space="preserve">The Access to Medical Reports Act </w:t>
      </w:r>
      <w:r w:rsidR="00626ED2">
        <w:rPr>
          <w:rFonts w:cs="Calibri"/>
          <w:sz w:val="32"/>
          <w:szCs w:val="32"/>
        </w:rPr>
        <w:t xml:space="preserve">(AMRA) </w:t>
      </w:r>
      <w:r>
        <w:rPr>
          <w:rFonts w:cs="Calibri"/>
          <w:sz w:val="32"/>
          <w:szCs w:val="32"/>
        </w:rPr>
        <w:t xml:space="preserve">deals specifically with reports for employment and insurance purposes. Note the insurance purposes is not just life insurance and mortgages, its any </w:t>
      </w:r>
      <w:r w:rsidR="00B378DE">
        <w:rPr>
          <w:rFonts w:cs="Calibri"/>
          <w:sz w:val="32"/>
          <w:szCs w:val="32"/>
        </w:rPr>
        <w:t>“</w:t>
      </w:r>
      <w:r>
        <w:rPr>
          <w:rFonts w:cs="Calibri"/>
          <w:sz w:val="32"/>
          <w:szCs w:val="32"/>
        </w:rPr>
        <w:t>insurance contract</w:t>
      </w:r>
      <w:r w:rsidR="00B378DE">
        <w:rPr>
          <w:rFonts w:cs="Calibri"/>
          <w:sz w:val="32"/>
          <w:szCs w:val="32"/>
        </w:rPr>
        <w:t>”</w:t>
      </w:r>
      <w:r w:rsidR="00F66DF6">
        <w:rPr>
          <w:rFonts w:cs="Calibri"/>
          <w:sz w:val="32"/>
          <w:szCs w:val="32"/>
        </w:rPr>
        <w:t>, so it covers accident claims, insured negligence, anything covered by an insurance contract that requires a medical report.</w:t>
      </w:r>
    </w:p>
    <w:p w14:paraId="67D94CAC" w14:textId="77777777" w:rsidR="00F66DF6" w:rsidRDefault="00F66DF6" w:rsidP="00443638">
      <w:pPr>
        <w:rPr>
          <w:rFonts w:cs="Calibri"/>
          <w:sz w:val="32"/>
          <w:szCs w:val="32"/>
        </w:rPr>
      </w:pPr>
    </w:p>
    <w:p w14:paraId="165F4997" w14:textId="77777777" w:rsidR="00F66DF6" w:rsidRPr="00F66DF6" w:rsidRDefault="00F66DF6" w:rsidP="00443638">
      <w:pPr>
        <w:rPr>
          <w:rFonts w:cs="Calibri"/>
          <w:b/>
          <w:sz w:val="32"/>
          <w:szCs w:val="32"/>
          <w:u w:val="single"/>
        </w:rPr>
      </w:pPr>
      <w:r w:rsidRPr="00F66DF6">
        <w:rPr>
          <w:rFonts w:cs="Calibri"/>
          <w:b/>
          <w:sz w:val="32"/>
          <w:szCs w:val="32"/>
          <w:u w:val="single"/>
        </w:rPr>
        <w:t>But hang on, they could argue that a TSAR is the same as a report on a specific injury, like a whiplash?</w:t>
      </w:r>
    </w:p>
    <w:p w14:paraId="6096D6EF" w14:textId="77777777" w:rsidR="00F66DF6" w:rsidRDefault="00F66DF6" w:rsidP="00443638">
      <w:pPr>
        <w:rPr>
          <w:rFonts w:cs="Calibri"/>
          <w:sz w:val="32"/>
          <w:szCs w:val="32"/>
        </w:rPr>
      </w:pPr>
    </w:p>
    <w:p w14:paraId="15C067B1" w14:textId="77777777" w:rsidR="00615794" w:rsidRDefault="00F66DF6" w:rsidP="00443638">
      <w:pPr>
        <w:rPr>
          <w:rFonts w:cs="Calibri"/>
          <w:sz w:val="32"/>
          <w:szCs w:val="32"/>
        </w:rPr>
      </w:pPr>
      <w:r>
        <w:rPr>
          <w:rFonts w:cs="Calibri"/>
          <w:sz w:val="32"/>
          <w:szCs w:val="32"/>
        </w:rPr>
        <w:t xml:space="preserve">Correct, and no doubt some will try. However it is the purpose that determines the legal basis. If the solicitor’s letter does not make the precise purpose of the request and report clear, then ask them is the report being requested under GDPR or </w:t>
      </w:r>
      <w:r w:rsidR="00626ED2">
        <w:rPr>
          <w:rFonts w:cs="Calibri"/>
          <w:sz w:val="32"/>
          <w:szCs w:val="32"/>
        </w:rPr>
        <w:t>A</w:t>
      </w:r>
      <w:r>
        <w:rPr>
          <w:rFonts w:cs="Calibri"/>
          <w:sz w:val="32"/>
          <w:szCs w:val="32"/>
        </w:rPr>
        <w:t xml:space="preserve">MRA? If the report is to support an actual or potential insured claim then </w:t>
      </w:r>
      <w:r w:rsidR="00626ED2">
        <w:rPr>
          <w:rFonts w:cs="Calibri"/>
          <w:sz w:val="32"/>
          <w:szCs w:val="32"/>
        </w:rPr>
        <w:t>A</w:t>
      </w:r>
      <w:r>
        <w:rPr>
          <w:rFonts w:cs="Calibri"/>
          <w:sz w:val="32"/>
          <w:szCs w:val="32"/>
        </w:rPr>
        <w:t>MRA applies. You can charge and no APIn is needed.</w:t>
      </w:r>
    </w:p>
    <w:p w14:paraId="1156B51D" w14:textId="77777777" w:rsidR="00F66DF6" w:rsidRDefault="00F66DF6" w:rsidP="00443638">
      <w:pPr>
        <w:rPr>
          <w:rFonts w:cs="Calibri"/>
          <w:sz w:val="32"/>
          <w:szCs w:val="32"/>
        </w:rPr>
      </w:pPr>
    </w:p>
    <w:p w14:paraId="466EDBC6" w14:textId="77777777" w:rsidR="00F66DF6" w:rsidRPr="00F66DF6" w:rsidRDefault="00F66DF6" w:rsidP="00443638">
      <w:pPr>
        <w:rPr>
          <w:rFonts w:cs="Calibri"/>
          <w:b/>
          <w:sz w:val="32"/>
          <w:szCs w:val="32"/>
          <w:u w:val="single"/>
        </w:rPr>
      </w:pPr>
      <w:r w:rsidRPr="00F66DF6">
        <w:rPr>
          <w:rFonts w:cs="Calibri"/>
          <w:b/>
          <w:sz w:val="32"/>
          <w:szCs w:val="32"/>
          <w:u w:val="single"/>
        </w:rPr>
        <w:t>And employers?</w:t>
      </w:r>
    </w:p>
    <w:p w14:paraId="25F20449" w14:textId="77777777" w:rsidR="00F66DF6" w:rsidRDefault="00F66DF6" w:rsidP="00443638">
      <w:pPr>
        <w:rPr>
          <w:rFonts w:cs="Calibri"/>
          <w:sz w:val="32"/>
          <w:szCs w:val="32"/>
        </w:rPr>
      </w:pPr>
    </w:p>
    <w:p w14:paraId="509B37B0" w14:textId="77777777" w:rsidR="00F66DF6" w:rsidRDefault="00F66DF6" w:rsidP="00443638">
      <w:pPr>
        <w:rPr>
          <w:rFonts w:cs="Calibri"/>
          <w:sz w:val="32"/>
          <w:szCs w:val="32"/>
        </w:rPr>
      </w:pPr>
      <w:r>
        <w:rPr>
          <w:rFonts w:cs="Calibri"/>
          <w:sz w:val="32"/>
          <w:szCs w:val="32"/>
        </w:rPr>
        <w:t>The same distinction applies. If the report is in connection with proposed or actual employment, its not a SAR or TSAR and you can charge and no APIn is needed.</w:t>
      </w:r>
    </w:p>
    <w:p w14:paraId="6DB44C9A" w14:textId="77777777" w:rsidR="00615794" w:rsidRDefault="00615794" w:rsidP="00443638">
      <w:pPr>
        <w:rPr>
          <w:rFonts w:cs="Calibri"/>
          <w:sz w:val="32"/>
          <w:szCs w:val="32"/>
        </w:rPr>
      </w:pPr>
    </w:p>
    <w:p w14:paraId="38EB9ED7" w14:textId="77777777" w:rsidR="00ED4A7B" w:rsidRDefault="00ED4A7B" w:rsidP="00443638">
      <w:pPr>
        <w:rPr>
          <w:rFonts w:cs="Calibri"/>
          <w:sz w:val="32"/>
          <w:szCs w:val="32"/>
        </w:rPr>
      </w:pPr>
    </w:p>
    <w:p w14:paraId="4239715A" w14:textId="77777777" w:rsidR="00ED4A7B" w:rsidRPr="002652AD" w:rsidRDefault="00ED4A7B" w:rsidP="00ED4A7B">
      <w:pPr>
        <w:rPr>
          <w:b/>
          <w:sz w:val="32"/>
          <w:szCs w:val="32"/>
          <w:u w:val="single"/>
        </w:rPr>
      </w:pPr>
      <w:r w:rsidRPr="002652AD">
        <w:rPr>
          <w:b/>
          <w:sz w:val="32"/>
          <w:szCs w:val="32"/>
          <w:u w:val="single"/>
        </w:rPr>
        <w:t>Quick fire action points</w:t>
      </w:r>
    </w:p>
    <w:p w14:paraId="30BE5BF8" w14:textId="77777777" w:rsidR="00443638" w:rsidRDefault="00443638" w:rsidP="00443638">
      <w:pPr>
        <w:rPr>
          <w:rFonts w:cs="Calibri"/>
          <w:sz w:val="32"/>
          <w:szCs w:val="32"/>
        </w:rPr>
      </w:pPr>
    </w:p>
    <w:p w14:paraId="11DAFD82" w14:textId="77777777" w:rsidR="005A3ADD" w:rsidRDefault="005A3ADD" w:rsidP="0087300F">
      <w:pPr>
        <w:numPr>
          <w:ilvl w:val="0"/>
          <w:numId w:val="6"/>
        </w:numPr>
        <w:rPr>
          <w:rFonts w:cs="Calibri"/>
          <w:sz w:val="32"/>
          <w:szCs w:val="32"/>
        </w:rPr>
      </w:pPr>
      <w:r>
        <w:rPr>
          <w:rFonts w:cs="Calibri"/>
          <w:sz w:val="32"/>
          <w:szCs w:val="32"/>
        </w:rPr>
        <w:t>Revise your SAR request procedures and paperwork</w:t>
      </w:r>
    </w:p>
    <w:p w14:paraId="193C117C" w14:textId="77777777" w:rsidR="005A3ADD" w:rsidRDefault="005A3ADD" w:rsidP="00443638">
      <w:pPr>
        <w:rPr>
          <w:rFonts w:cs="Calibri"/>
          <w:sz w:val="32"/>
          <w:szCs w:val="32"/>
        </w:rPr>
      </w:pPr>
    </w:p>
    <w:p w14:paraId="307790CC" w14:textId="77777777" w:rsidR="0087300F" w:rsidRDefault="0087300F" w:rsidP="0087300F">
      <w:pPr>
        <w:numPr>
          <w:ilvl w:val="0"/>
          <w:numId w:val="6"/>
        </w:numPr>
        <w:rPr>
          <w:rFonts w:cs="Calibri"/>
          <w:sz w:val="32"/>
          <w:szCs w:val="32"/>
        </w:rPr>
      </w:pPr>
      <w:r>
        <w:rPr>
          <w:rFonts w:cs="Calibri"/>
          <w:sz w:val="32"/>
          <w:szCs w:val="32"/>
        </w:rPr>
        <w:t>Create an Additional Processing Information notice (APIn)</w:t>
      </w:r>
    </w:p>
    <w:p w14:paraId="75FAB846" w14:textId="77777777" w:rsidR="0087300F" w:rsidRDefault="0087300F" w:rsidP="00443638">
      <w:pPr>
        <w:rPr>
          <w:rFonts w:cs="Calibri"/>
          <w:sz w:val="32"/>
          <w:szCs w:val="32"/>
        </w:rPr>
      </w:pPr>
    </w:p>
    <w:p w14:paraId="2E7C514A" w14:textId="77777777" w:rsidR="005A3ADD" w:rsidRDefault="0087300F" w:rsidP="0087300F">
      <w:pPr>
        <w:numPr>
          <w:ilvl w:val="0"/>
          <w:numId w:val="6"/>
        </w:numPr>
        <w:rPr>
          <w:rFonts w:cs="Calibri"/>
          <w:sz w:val="32"/>
          <w:szCs w:val="32"/>
        </w:rPr>
      </w:pPr>
      <w:r>
        <w:rPr>
          <w:rFonts w:cs="Calibri"/>
          <w:sz w:val="32"/>
          <w:szCs w:val="32"/>
        </w:rPr>
        <w:t>Provide a copy of, or link to</w:t>
      </w:r>
      <w:r w:rsidR="00615794">
        <w:rPr>
          <w:rFonts w:cs="Calibri"/>
          <w:sz w:val="32"/>
          <w:szCs w:val="32"/>
        </w:rPr>
        <w:t>,</w:t>
      </w:r>
      <w:r>
        <w:rPr>
          <w:rFonts w:cs="Calibri"/>
          <w:sz w:val="32"/>
          <w:szCs w:val="32"/>
        </w:rPr>
        <w:t xml:space="preserve"> the APIn with every SAR or TSAR</w:t>
      </w:r>
    </w:p>
    <w:p w14:paraId="72474119" w14:textId="77777777" w:rsidR="0087300F" w:rsidRDefault="0087300F" w:rsidP="0087300F">
      <w:pPr>
        <w:pStyle w:val="ListParagraph"/>
        <w:rPr>
          <w:rFonts w:cs="Calibri"/>
          <w:sz w:val="32"/>
          <w:szCs w:val="32"/>
        </w:rPr>
      </w:pPr>
    </w:p>
    <w:p w14:paraId="32994548" w14:textId="77777777" w:rsidR="0087300F" w:rsidRDefault="0087300F" w:rsidP="0087300F">
      <w:pPr>
        <w:numPr>
          <w:ilvl w:val="0"/>
          <w:numId w:val="6"/>
        </w:numPr>
        <w:rPr>
          <w:rFonts w:cs="Calibri"/>
          <w:sz w:val="32"/>
          <w:szCs w:val="32"/>
        </w:rPr>
      </w:pPr>
      <w:r>
        <w:rPr>
          <w:rFonts w:cs="Calibri"/>
          <w:sz w:val="32"/>
          <w:szCs w:val="32"/>
        </w:rPr>
        <w:t>Utilise the new response options, particularly the TSARs</w:t>
      </w:r>
    </w:p>
    <w:p w14:paraId="3D03B5E5" w14:textId="77777777" w:rsidR="004C704E" w:rsidRDefault="004C704E" w:rsidP="004C704E">
      <w:pPr>
        <w:pStyle w:val="ListParagraph"/>
        <w:rPr>
          <w:rFonts w:cs="Calibri"/>
          <w:sz w:val="32"/>
          <w:szCs w:val="32"/>
        </w:rPr>
      </w:pPr>
    </w:p>
    <w:p w14:paraId="5265EAC1" w14:textId="77777777" w:rsidR="004C704E" w:rsidRDefault="004C704E" w:rsidP="004C704E">
      <w:pPr>
        <w:numPr>
          <w:ilvl w:val="0"/>
          <w:numId w:val="6"/>
        </w:numPr>
        <w:rPr>
          <w:rFonts w:cs="Calibri"/>
          <w:sz w:val="32"/>
          <w:szCs w:val="32"/>
        </w:rPr>
      </w:pPr>
      <w:r>
        <w:rPr>
          <w:rFonts w:cs="Calibri"/>
          <w:sz w:val="32"/>
          <w:szCs w:val="32"/>
        </w:rPr>
        <w:t>Be aware (wary</w:t>
      </w:r>
      <w:r w:rsidR="00615794">
        <w:rPr>
          <w:rFonts w:cs="Calibri"/>
          <w:sz w:val="32"/>
          <w:szCs w:val="32"/>
        </w:rPr>
        <w:t>?</w:t>
      </w:r>
      <w:r>
        <w:rPr>
          <w:rFonts w:cs="Calibri"/>
          <w:sz w:val="32"/>
          <w:szCs w:val="32"/>
        </w:rPr>
        <w:t>) of the tighter deadlines</w:t>
      </w:r>
    </w:p>
    <w:p w14:paraId="2AEBE2C7" w14:textId="77777777" w:rsidR="004C704E" w:rsidRDefault="004C704E" w:rsidP="004C704E">
      <w:pPr>
        <w:pStyle w:val="ListParagraph"/>
        <w:rPr>
          <w:rFonts w:cs="Calibri"/>
          <w:sz w:val="32"/>
          <w:szCs w:val="32"/>
        </w:rPr>
      </w:pPr>
    </w:p>
    <w:p w14:paraId="3667BF04" w14:textId="77777777" w:rsidR="004C704E" w:rsidRDefault="004C704E" w:rsidP="004C704E">
      <w:pPr>
        <w:numPr>
          <w:ilvl w:val="0"/>
          <w:numId w:val="6"/>
        </w:numPr>
        <w:rPr>
          <w:rFonts w:cs="Calibri"/>
          <w:sz w:val="32"/>
          <w:szCs w:val="32"/>
        </w:rPr>
      </w:pPr>
      <w:r>
        <w:rPr>
          <w:rFonts w:cs="Calibri"/>
          <w:sz w:val="32"/>
          <w:szCs w:val="32"/>
        </w:rPr>
        <w:t xml:space="preserve">Be very wary of </w:t>
      </w:r>
      <w:r w:rsidR="00615794">
        <w:rPr>
          <w:rFonts w:cs="Calibri"/>
          <w:sz w:val="32"/>
          <w:szCs w:val="32"/>
        </w:rPr>
        <w:t xml:space="preserve">solicitor’s </w:t>
      </w:r>
      <w:r w:rsidR="00E24677">
        <w:rPr>
          <w:rFonts w:cs="Calibri"/>
          <w:sz w:val="32"/>
          <w:szCs w:val="32"/>
        </w:rPr>
        <w:t xml:space="preserve">and others’ </w:t>
      </w:r>
      <w:r w:rsidR="00615794">
        <w:rPr>
          <w:rFonts w:cs="Calibri"/>
          <w:sz w:val="32"/>
          <w:szCs w:val="32"/>
        </w:rPr>
        <w:t>letters. Be prepared to clarify requests</w:t>
      </w:r>
      <w:r w:rsidR="00B015CD">
        <w:rPr>
          <w:rFonts w:cs="Calibri"/>
          <w:sz w:val="32"/>
          <w:szCs w:val="32"/>
        </w:rPr>
        <w:t xml:space="preserve">. </w:t>
      </w:r>
    </w:p>
    <w:p w14:paraId="4517C44F" w14:textId="77777777" w:rsidR="00B015CD" w:rsidRDefault="00B015CD" w:rsidP="00B015CD">
      <w:pPr>
        <w:pStyle w:val="ListParagraph"/>
        <w:rPr>
          <w:rFonts w:cs="Calibri"/>
          <w:sz w:val="32"/>
          <w:szCs w:val="32"/>
        </w:rPr>
      </w:pPr>
    </w:p>
    <w:p w14:paraId="3BD2EBF5" w14:textId="77777777" w:rsidR="00B015CD" w:rsidRDefault="00B015CD" w:rsidP="004C704E">
      <w:pPr>
        <w:numPr>
          <w:ilvl w:val="0"/>
          <w:numId w:val="6"/>
        </w:numPr>
        <w:rPr>
          <w:rFonts w:cs="Calibri"/>
          <w:sz w:val="32"/>
          <w:szCs w:val="32"/>
        </w:rPr>
      </w:pPr>
      <w:r>
        <w:rPr>
          <w:rFonts w:cs="Calibri"/>
          <w:sz w:val="32"/>
          <w:szCs w:val="32"/>
        </w:rPr>
        <w:t>Anything to do with insurance or employment, its not GDPR.</w:t>
      </w:r>
    </w:p>
    <w:p w14:paraId="25B2E701" w14:textId="77777777" w:rsidR="0087300F" w:rsidRDefault="0087300F" w:rsidP="00443638">
      <w:pPr>
        <w:rPr>
          <w:rFonts w:cs="Calibri"/>
          <w:sz w:val="32"/>
          <w:szCs w:val="32"/>
        </w:rPr>
      </w:pPr>
    </w:p>
    <w:p w14:paraId="5B54D266" w14:textId="77777777" w:rsidR="0087300F" w:rsidRDefault="0087300F" w:rsidP="00443638">
      <w:pPr>
        <w:rPr>
          <w:rFonts w:cs="Calibri"/>
          <w:sz w:val="32"/>
          <w:szCs w:val="32"/>
        </w:rPr>
      </w:pPr>
    </w:p>
    <w:p w14:paraId="6018865E" w14:textId="77777777" w:rsidR="00ED4A7B" w:rsidRPr="00567526" w:rsidRDefault="00ED4A7B" w:rsidP="00443638">
      <w:pPr>
        <w:rPr>
          <w:rFonts w:cs="Calibri"/>
          <w:sz w:val="32"/>
          <w:szCs w:val="32"/>
        </w:rPr>
      </w:pPr>
    </w:p>
    <w:p w14:paraId="27E7B2E5" w14:textId="77777777" w:rsidR="00C23B7D" w:rsidRDefault="00C23B7D" w:rsidP="00C23B7D">
      <w:pPr>
        <w:pStyle w:val="Heading1"/>
        <w:rPr>
          <w:rFonts w:ascii="Calibri" w:hAnsi="Calibri" w:cs="Calibri"/>
          <w:b w:val="0"/>
        </w:rPr>
      </w:pPr>
      <w:r w:rsidRPr="00FB01B6">
        <w:rPr>
          <w:rFonts w:ascii="Calibri" w:hAnsi="Calibri" w:cs="Calibri"/>
          <w:b w:val="0"/>
        </w:rPr>
        <w:t>Dr Paul Cundy</w:t>
      </w:r>
    </w:p>
    <w:p w14:paraId="7EC6C07F" w14:textId="77777777" w:rsidR="00C23B7D" w:rsidRPr="003F1FE4" w:rsidRDefault="00C23B7D" w:rsidP="00C23B7D">
      <w:pPr>
        <w:pStyle w:val="Heading1"/>
        <w:rPr>
          <w:rFonts w:ascii="Calibri" w:hAnsi="Calibri" w:cs="Calibri"/>
          <w:b w:val="0"/>
        </w:rPr>
      </w:pPr>
      <w:r w:rsidRPr="003F1FE4">
        <w:rPr>
          <w:rFonts w:ascii="Calibri" w:hAnsi="Calibri" w:cs="Calibri"/>
          <w:b w:val="0"/>
        </w:rPr>
        <w:t>GPC IT Policy Lead</w:t>
      </w:r>
    </w:p>
    <w:p w14:paraId="29D3C904" w14:textId="77777777" w:rsidR="00C23B7D" w:rsidRPr="00FB01B6" w:rsidRDefault="00C23B7D" w:rsidP="00C23B7D">
      <w:pPr>
        <w:pStyle w:val="Heading1"/>
        <w:rPr>
          <w:rFonts w:ascii="Calibri" w:hAnsi="Calibri" w:cs="Calibri"/>
          <w:b w:val="0"/>
        </w:rPr>
      </w:pPr>
      <w:r w:rsidRPr="00FB01B6">
        <w:rPr>
          <w:rFonts w:ascii="Calibri" w:hAnsi="Calibri" w:cs="Calibri"/>
          <w:b w:val="0"/>
        </w:rPr>
        <w:t>GMC 2582641</w:t>
      </w:r>
    </w:p>
    <w:p w14:paraId="3CD3621D" w14:textId="77777777" w:rsidR="00C23B7D" w:rsidRPr="00FB01B6" w:rsidRDefault="00F1008E" w:rsidP="00C23B7D">
      <w:pPr>
        <w:pStyle w:val="Heading1"/>
        <w:rPr>
          <w:rFonts w:ascii="Calibri" w:hAnsi="Calibri" w:cs="Calibri"/>
          <w:b w:val="0"/>
        </w:rPr>
      </w:pPr>
      <w:r>
        <w:rPr>
          <w:rFonts w:ascii="Calibri" w:hAnsi="Calibri" w:cs="Calibri"/>
          <w:b w:val="0"/>
        </w:rPr>
        <w:t>12</w:t>
      </w:r>
      <w:r w:rsidRPr="00F1008E">
        <w:rPr>
          <w:rFonts w:ascii="Calibri" w:hAnsi="Calibri" w:cs="Calibri"/>
          <w:b w:val="0"/>
          <w:vertAlign w:val="superscript"/>
        </w:rPr>
        <w:t>th</w:t>
      </w:r>
      <w:r>
        <w:rPr>
          <w:rFonts w:ascii="Calibri" w:hAnsi="Calibri" w:cs="Calibri"/>
          <w:b w:val="0"/>
        </w:rPr>
        <w:t xml:space="preserve"> </w:t>
      </w:r>
      <w:r w:rsidR="00C23B7D">
        <w:rPr>
          <w:rFonts w:ascii="Calibri" w:hAnsi="Calibri" w:cs="Calibri"/>
          <w:b w:val="0"/>
        </w:rPr>
        <w:t>April</w:t>
      </w:r>
      <w:r w:rsidR="00C23B7D" w:rsidRPr="00FB01B6">
        <w:rPr>
          <w:rFonts w:ascii="Calibri" w:hAnsi="Calibri" w:cs="Calibri"/>
          <w:b w:val="0"/>
        </w:rPr>
        <w:t xml:space="preserve"> 2018</w:t>
      </w:r>
    </w:p>
    <w:p w14:paraId="1467CD34" w14:textId="77777777" w:rsidR="00C23B7D" w:rsidRPr="00567526" w:rsidRDefault="00C23B7D" w:rsidP="00443638">
      <w:pPr>
        <w:rPr>
          <w:rFonts w:cs="Calibri"/>
          <w:sz w:val="32"/>
          <w:szCs w:val="32"/>
        </w:rPr>
      </w:pPr>
    </w:p>
    <w:p w14:paraId="6D37EF1F" w14:textId="77777777" w:rsidR="00150B14" w:rsidRPr="00567526" w:rsidRDefault="00150B14">
      <w:pPr>
        <w:rPr>
          <w:rFonts w:cs="Calibri"/>
          <w:sz w:val="32"/>
          <w:szCs w:val="32"/>
        </w:rPr>
      </w:pPr>
    </w:p>
    <w:p w14:paraId="15DD710D" w14:textId="77777777" w:rsidR="00150B14" w:rsidRPr="00567526" w:rsidRDefault="00150B14">
      <w:pPr>
        <w:rPr>
          <w:rFonts w:cs="Calibri"/>
          <w:sz w:val="32"/>
          <w:szCs w:val="32"/>
        </w:rPr>
      </w:pPr>
    </w:p>
    <w:p w14:paraId="6B46ABB4" w14:textId="77777777" w:rsidR="00F7625A" w:rsidRPr="00567526" w:rsidRDefault="00F7625A" w:rsidP="00F7625A">
      <w:pPr>
        <w:rPr>
          <w:rStyle w:val="Heading1Char"/>
          <w:rFonts w:ascii="Calibri" w:eastAsia="Calibri" w:hAnsi="Calibri" w:cs="Calibri"/>
          <w:b w:val="0"/>
          <w:lang w:eastAsia="en-GB"/>
        </w:rPr>
      </w:pPr>
      <w:bookmarkStart w:id="2" w:name="one"/>
      <w:r w:rsidRPr="00567526">
        <w:rPr>
          <w:rFonts w:cs="Calibri"/>
          <w:sz w:val="32"/>
          <w:szCs w:val="32"/>
        </w:rPr>
        <w:t>1,</w:t>
      </w:r>
      <w:bookmarkEnd w:id="2"/>
      <w:r w:rsidRPr="00567526">
        <w:rPr>
          <w:rFonts w:cs="Calibri"/>
        </w:rPr>
        <w:t xml:space="preserve"> </w:t>
      </w:r>
      <w:r w:rsidRPr="00567526">
        <w:rPr>
          <w:rStyle w:val="Heading1Char"/>
          <w:rFonts w:ascii="Calibri" w:eastAsia="Calibri" w:hAnsi="Calibri" w:cs="Calibri"/>
          <w:b w:val="0"/>
          <w:lang w:eastAsia="en-GB"/>
        </w:rPr>
        <w:t>Recital 63, “Where the controller processes a large quantity of information concerning the data subject, the controller should be able to request that, before the information is delivered, the data subject specify the information or processing activities to which the request relates.”</w:t>
      </w:r>
    </w:p>
    <w:p w14:paraId="11360A23" w14:textId="77777777" w:rsidR="00150B14" w:rsidRDefault="00150B14"/>
    <w:p w14:paraId="612F8A00" w14:textId="77777777" w:rsidR="00A664BF" w:rsidRPr="00F41AAE" w:rsidRDefault="00BC2FF1" w:rsidP="00A664BF">
      <w:pPr>
        <w:spacing w:before="120"/>
        <w:rPr>
          <w:rFonts w:ascii="Times New Roman" w:eastAsia="Times New Roman" w:hAnsi="Times New Roman"/>
          <w:color w:val="000000"/>
          <w:sz w:val="24"/>
          <w:szCs w:val="24"/>
          <w:lang w:eastAsia="en-GB"/>
        </w:rPr>
      </w:pPr>
      <w:bookmarkStart w:id="3" w:name="two"/>
      <w:r w:rsidRPr="00567526">
        <w:rPr>
          <w:rFonts w:cs="Calibri"/>
          <w:sz w:val="32"/>
          <w:szCs w:val="32"/>
        </w:rPr>
        <w:t>2</w:t>
      </w:r>
      <w:bookmarkEnd w:id="3"/>
      <w:r w:rsidRPr="00567526">
        <w:rPr>
          <w:rFonts w:cs="Calibri"/>
          <w:sz w:val="32"/>
          <w:szCs w:val="32"/>
        </w:rPr>
        <w:t>, GDPR Article 15</w:t>
      </w:r>
      <w:r w:rsidR="00E36667" w:rsidRPr="00567526">
        <w:rPr>
          <w:rFonts w:cs="Calibri"/>
          <w:sz w:val="32"/>
          <w:szCs w:val="32"/>
        </w:rPr>
        <w:t>(3)</w:t>
      </w:r>
      <w:r w:rsidR="00A664BF" w:rsidRPr="00F41AAE">
        <w:rPr>
          <w:rFonts w:ascii="Times New Roman" w:eastAsia="Times New Roman" w:hAnsi="Times New Roman"/>
          <w:color w:val="000000"/>
          <w:sz w:val="24"/>
          <w:szCs w:val="24"/>
          <w:lang w:eastAsia="en-GB"/>
        </w:rPr>
        <w:t> </w:t>
      </w:r>
      <w:r w:rsidR="00A664BF" w:rsidRPr="00567526">
        <w:rPr>
          <w:rFonts w:eastAsia="Times New Roman" w:cs="Calibri"/>
          <w:color w:val="000000"/>
          <w:sz w:val="32"/>
          <w:szCs w:val="32"/>
          <w:lang w:eastAsia="en-GB"/>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14:paraId="77CDFF0F" w14:textId="77777777" w:rsidR="00BC2FF1" w:rsidRPr="00567526" w:rsidRDefault="00BC2FF1" w:rsidP="00A664BF">
      <w:pPr>
        <w:rPr>
          <w:rFonts w:cs="Calibri"/>
          <w:sz w:val="32"/>
          <w:szCs w:val="32"/>
        </w:rPr>
      </w:pPr>
    </w:p>
    <w:p w14:paraId="34BED338" w14:textId="77777777" w:rsidR="00A664BF" w:rsidRDefault="00A664BF" w:rsidP="00A664BF">
      <w:pPr>
        <w:rPr>
          <w:rFonts w:cs="Calibri"/>
          <w:sz w:val="32"/>
          <w:szCs w:val="32"/>
        </w:rPr>
      </w:pPr>
      <w:bookmarkStart w:id="4" w:name="three"/>
      <w:r w:rsidRPr="00567526">
        <w:rPr>
          <w:rFonts w:cs="Calibri"/>
          <w:sz w:val="32"/>
          <w:szCs w:val="32"/>
        </w:rPr>
        <w:t>3,</w:t>
      </w:r>
      <w:bookmarkEnd w:id="4"/>
      <w:r w:rsidRPr="00567526">
        <w:rPr>
          <w:rFonts w:cs="Calibri"/>
          <w:sz w:val="32"/>
          <w:szCs w:val="32"/>
        </w:rPr>
        <w:t xml:space="preserve"> </w:t>
      </w:r>
      <w:hyperlink r:id="rId8" w:history="1">
        <w:r w:rsidRPr="00D17515">
          <w:rPr>
            <w:rStyle w:val="Hyperlink"/>
            <w:rFonts w:cs="Calibri"/>
            <w:sz w:val="32"/>
            <w:szCs w:val="32"/>
          </w:rPr>
          <w:t>https://www.england.nhs.uk/patient-online/about-the-prog/po-gp/</w:t>
        </w:r>
      </w:hyperlink>
    </w:p>
    <w:p w14:paraId="17B9CD0F" w14:textId="77777777" w:rsidR="00A664BF" w:rsidRDefault="00A664BF" w:rsidP="00A664BF">
      <w:pPr>
        <w:rPr>
          <w:rFonts w:cs="Calibri"/>
          <w:sz w:val="32"/>
          <w:szCs w:val="32"/>
        </w:rPr>
      </w:pPr>
    </w:p>
    <w:p w14:paraId="4DFC7763" w14:textId="77777777" w:rsidR="00ED4A7B" w:rsidRPr="00567526" w:rsidRDefault="00ED4A7B" w:rsidP="00A664BF">
      <w:pPr>
        <w:rPr>
          <w:rFonts w:cs="Calibri"/>
          <w:sz w:val="32"/>
          <w:szCs w:val="32"/>
        </w:rPr>
      </w:pPr>
      <w:bookmarkStart w:id="5" w:name="four"/>
      <w:r>
        <w:rPr>
          <w:rFonts w:cs="Calibri"/>
          <w:sz w:val="32"/>
          <w:szCs w:val="32"/>
        </w:rPr>
        <w:t xml:space="preserve">4, </w:t>
      </w:r>
      <w:hyperlink r:id="rId9" w:history="1">
        <w:r w:rsidRPr="00ED4A7B">
          <w:rPr>
            <w:rStyle w:val="Hyperlink"/>
            <w:rFonts w:cs="Calibri"/>
            <w:sz w:val="32"/>
            <w:szCs w:val="32"/>
          </w:rPr>
          <w:t>Blog Twelve Q. How long is a month</w:t>
        </w:r>
      </w:hyperlink>
      <w:bookmarkEnd w:id="5"/>
    </w:p>
    <w:sectPr w:rsidR="00ED4A7B" w:rsidRPr="00567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7E02"/>
    <w:multiLevelType w:val="hybridMultilevel"/>
    <w:tmpl w:val="E636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A3ADB"/>
    <w:multiLevelType w:val="hybridMultilevel"/>
    <w:tmpl w:val="445ABC64"/>
    <w:lvl w:ilvl="0" w:tplc="5A2262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52A7325"/>
    <w:multiLevelType w:val="hybridMultilevel"/>
    <w:tmpl w:val="5AA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D13AC"/>
    <w:multiLevelType w:val="hybridMultilevel"/>
    <w:tmpl w:val="8494B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C4D2E"/>
    <w:multiLevelType w:val="hybridMultilevel"/>
    <w:tmpl w:val="6C14B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C4D7C"/>
    <w:multiLevelType w:val="hybridMultilevel"/>
    <w:tmpl w:val="AFF85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B2C06"/>
    <w:multiLevelType w:val="hybridMultilevel"/>
    <w:tmpl w:val="46B27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38"/>
    <w:rsid w:val="00047EF9"/>
    <w:rsid w:val="000B0A4E"/>
    <w:rsid w:val="001015D5"/>
    <w:rsid w:val="00150B14"/>
    <w:rsid w:val="00173D56"/>
    <w:rsid w:val="001759E6"/>
    <w:rsid w:val="001B2E85"/>
    <w:rsid w:val="00240890"/>
    <w:rsid w:val="00287D4C"/>
    <w:rsid w:val="002E23DE"/>
    <w:rsid w:val="003F12E1"/>
    <w:rsid w:val="00403EB1"/>
    <w:rsid w:val="00441488"/>
    <w:rsid w:val="00443638"/>
    <w:rsid w:val="00451F27"/>
    <w:rsid w:val="004852F7"/>
    <w:rsid w:val="004C1A1F"/>
    <w:rsid w:val="004C704E"/>
    <w:rsid w:val="004D4693"/>
    <w:rsid w:val="00526E96"/>
    <w:rsid w:val="00567526"/>
    <w:rsid w:val="005806E2"/>
    <w:rsid w:val="005A3ADD"/>
    <w:rsid w:val="005B2195"/>
    <w:rsid w:val="005C4625"/>
    <w:rsid w:val="00611566"/>
    <w:rsid w:val="00611AF2"/>
    <w:rsid w:val="00615794"/>
    <w:rsid w:val="00626ED2"/>
    <w:rsid w:val="00635F47"/>
    <w:rsid w:val="00640281"/>
    <w:rsid w:val="0069315F"/>
    <w:rsid w:val="006C24DD"/>
    <w:rsid w:val="006D1165"/>
    <w:rsid w:val="00706BCF"/>
    <w:rsid w:val="007219D9"/>
    <w:rsid w:val="00745E89"/>
    <w:rsid w:val="00787A45"/>
    <w:rsid w:val="00856BD3"/>
    <w:rsid w:val="0087300F"/>
    <w:rsid w:val="008B5313"/>
    <w:rsid w:val="00904D53"/>
    <w:rsid w:val="00910D14"/>
    <w:rsid w:val="00956D18"/>
    <w:rsid w:val="00980808"/>
    <w:rsid w:val="009F4861"/>
    <w:rsid w:val="00A451B9"/>
    <w:rsid w:val="00A579D7"/>
    <w:rsid w:val="00A664BF"/>
    <w:rsid w:val="00A74C29"/>
    <w:rsid w:val="00A776A4"/>
    <w:rsid w:val="00A81751"/>
    <w:rsid w:val="00AA60FC"/>
    <w:rsid w:val="00AE4672"/>
    <w:rsid w:val="00AE7856"/>
    <w:rsid w:val="00AF708E"/>
    <w:rsid w:val="00B015CD"/>
    <w:rsid w:val="00B378DE"/>
    <w:rsid w:val="00B72577"/>
    <w:rsid w:val="00BC2FF1"/>
    <w:rsid w:val="00BE2008"/>
    <w:rsid w:val="00C23B7D"/>
    <w:rsid w:val="00C936AD"/>
    <w:rsid w:val="00CA7DB0"/>
    <w:rsid w:val="00CB20B0"/>
    <w:rsid w:val="00CD0334"/>
    <w:rsid w:val="00D54171"/>
    <w:rsid w:val="00D92159"/>
    <w:rsid w:val="00D97435"/>
    <w:rsid w:val="00DC5D49"/>
    <w:rsid w:val="00DD30F6"/>
    <w:rsid w:val="00DE17DB"/>
    <w:rsid w:val="00E142AC"/>
    <w:rsid w:val="00E24677"/>
    <w:rsid w:val="00E36667"/>
    <w:rsid w:val="00EA0035"/>
    <w:rsid w:val="00EB2938"/>
    <w:rsid w:val="00ED4A7B"/>
    <w:rsid w:val="00EE380D"/>
    <w:rsid w:val="00F1008E"/>
    <w:rsid w:val="00F24339"/>
    <w:rsid w:val="00F24EA1"/>
    <w:rsid w:val="00F66DF6"/>
    <w:rsid w:val="00F7625A"/>
    <w:rsid w:val="00FC046A"/>
    <w:rsid w:val="00FC42E1"/>
    <w:rsid w:val="00FF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8C39"/>
  <w15:chartTrackingRefBased/>
  <w15:docId w15:val="{CBFF8452-086F-3B47-A55F-FD2DDA32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E142A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638"/>
    <w:rPr>
      <w:rFonts w:cs="Times New Roman"/>
      <w:color w:val="0563C1"/>
      <w:u w:val="single"/>
    </w:rPr>
  </w:style>
  <w:style w:type="character" w:customStyle="1" w:styleId="Heading1Char">
    <w:name w:val="Heading 1 Char"/>
    <w:link w:val="Heading1"/>
    <w:uiPriority w:val="9"/>
    <w:rsid w:val="00E142AC"/>
    <w:rPr>
      <w:rFonts w:ascii="Calibri Light" w:eastAsia="Times New Roman" w:hAnsi="Calibri Light"/>
      <w:b/>
      <w:bCs/>
      <w:kern w:val="32"/>
      <w:sz w:val="32"/>
      <w:szCs w:val="32"/>
      <w:lang w:eastAsia="en-US"/>
    </w:rPr>
  </w:style>
  <w:style w:type="character" w:styleId="UnresolvedMention">
    <w:name w:val="Unresolved Mention"/>
    <w:uiPriority w:val="99"/>
    <w:semiHidden/>
    <w:unhideWhenUsed/>
    <w:rsid w:val="00F7625A"/>
    <w:rPr>
      <w:color w:val="808080"/>
      <w:shd w:val="clear" w:color="auto" w:fill="E6E6E6"/>
    </w:rPr>
  </w:style>
  <w:style w:type="character" w:styleId="FollowedHyperlink">
    <w:name w:val="FollowedHyperlink"/>
    <w:uiPriority w:val="99"/>
    <w:semiHidden/>
    <w:unhideWhenUsed/>
    <w:rsid w:val="00A81751"/>
    <w:rPr>
      <w:color w:val="954F72"/>
      <w:u w:val="single"/>
    </w:rPr>
  </w:style>
  <w:style w:type="paragraph" w:styleId="ListParagraph">
    <w:name w:val="List Paragraph"/>
    <w:basedOn w:val="Normal"/>
    <w:uiPriority w:val="34"/>
    <w:qFormat/>
    <w:rsid w:val="00D92159"/>
    <w:pPr>
      <w:ind w:left="720"/>
      <w:contextualSpacing/>
    </w:pPr>
    <w:rPr>
      <w:rFonts w:ascii="Cambria" w:eastAsia="MS Mincho" w:hAnsi="Cambria"/>
      <w:sz w:val="24"/>
      <w:szCs w:val="24"/>
      <w:lang w:val="en-US"/>
    </w:rPr>
  </w:style>
  <w:style w:type="paragraph" w:styleId="NoSpacing">
    <w:name w:val="No Spacing"/>
    <w:uiPriority w:val="1"/>
    <w:qFormat/>
    <w:rsid w:val="005C46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atient-online/about-the-prog/po-gp/" TargetMode="External"/><Relationship Id="rId3" Type="http://schemas.openxmlformats.org/officeDocument/2006/relationships/settings" Target="settings.xml"/><Relationship Id="rId7" Type="http://schemas.openxmlformats.org/officeDocument/2006/relationships/hyperlink" Target="https://www.bma.org.uk/-/media/files/pdfs/practical%20advice%20at%20work/doctors%20as%20managers/managing%20your%20services/focus%20on%20subject%20access%20requests%20for%20insurance%20purposes%20august%202015%20full.pdf?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i.org.uk/globalassets/sitecore/files/documents/publications/public/2017/health/requesting-and-obtaining-medical-information-electronically.pdf" TargetMode="External"/><Relationship Id="rId11" Type="http://schemas.openxmlformats.org/officeDocument/2006/relationships/theme" Target="theme/theme1.xml"/><Relationship Id="rId5" Type="http://schemas.openxmlformats.org/officeDocument/2006/relationships/hyperlink" Target="https://www.dropbox.com/s/pwbbpq19uch29e6/Official%20GDPR%20Guidance%20on%20Portability.pdf?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g5363lfpb36apyk/12%20Blog%20Twelve%20Q.%20How%20long%20is%20a%20month.doc?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21441</CharactersWithSpaces>
  <SharedDoc>false</SharedDoc>
  <HLinks>
    <vt:vector size="60" baseType="variant">
      <vt:variant>
        <vt:i4>5767179</vt:i4>
      </vt:variant>
      <vt:variant>
        <vt:i4>27</vt:i4>
      </vt:variant>
      <vt:variant>
        <vt:i4>0</vt:i4>
      </vt:variant>
      <vt:variant>
        <vt:i4>5</vt:i4>
      </vt:variant>
      <vt:variant>
        <vt:lpwstr>https://www.dropbox.com/s/g5363lfpb36apyk/12 Blog Twelve Q. How long is a month.doc?dl=0</vt:lpwstr>
      </vt:variant>
      <vt:variant>
        <vt:lpwstr/>
      </vt:variant>
      <vt:variant>
        <vt:i4>3604602</vt:i4>
      </vt:variant>
      <vt:variant>
        <vt:i4>24</vt:i4>
      </vt:variant>
      <vt:variant>
        <vt:i4>0</vt:i4>
      </vt:variant>
      <vt:variant>
        <vt:i4>5</vt:i4>
      </vt:variant>
      <vt:variant>
        <vt:lpwstr>https://www.england.nhs.uk/patient-online/about-the-prog/po-gp/</vt:lpwstr>
      </vt:variant>
      <vt:variant>
        <vt:lpwstr/>
      </vt:variant>
      <vt:variant>
        <vt:i4>5832721</vt:i4>
      </vt:variant>
      <vt:variant>
        <vt:i4>21</vt:i4>
      </vt:variant>
      <vt:variant>
        <vt:i4>0</vt:i4>
      </vt:variant>
      <vt:variant>
        <vt:i4>5</vt:i4>
      </vt:variant>
      <vt:variant>
        <vt:lpwstr>https://www.bma.org.uk/-/media/files/pdfs/practical advice at work/doctors as managers/managing your services/focus on subject access requests for insurance purposes august 2015 full.pdf?la=en</vt:lpwstr>
      </vt:variant>
      <vt:variant>
        <vt:lpwstr/>
      </vt:variant>
      <vt:variant>
        <vt:i4>4915212</vt:i4>
      </vt:variant>
      <vt:variant>
        <vt:i4>18</vt:i4>
      </vt:variant>
      <vt:variant>
        <vt:i4>0</vt:i4>
      </vt:variant>
      <vt:variant>
        <vt:i4>5</vt:i4>
      </vt:variant>
      <vt:variant>
        <vt:lpwstr>https://www.abi.org.uk/globalassets/sitecore/files/documents/publications/public/2017/health/requesting-and-obtaining-medical-information-electronically.pdf</vt:lpwstr>
      </vt:variant>
      <vt:variant>
        <vt:lpwstr/>
      </vt:variant>
      <vt:variant>
        <vt:i4>6684799</vt:i4>
      </vt:variant>
      <vt:variant>
        <vt:i4>15</vt:i4>
      </vt:variant>
      <vt:variant>
        <vt:i4>0</vt:i4>
      </vt:variant>
      <vt:variant>
        <vt:i4>5</vt:i4>
      </vt:variant>
      <vt:variant>
        <vt:lpwstr/>
      </vt:variant>
      <vt:variant>
        <vt:lpwstr>additional</vt:lpwstr>
      </vt:variant>
      <vt:variant>
        <vt:i4>131143</vt:i4>
      </vt:variant>
      <vt:variant>
        <vt:i4>12</vt:i4>
      </vt:variant>
      <vt:variant>
        <vt:i4>0</vt:i4>
      </vt:variant>
      <vt:variant>
        <vt:i4>5</vt:i4>
      </vt:variant>
      <vt:variant>
        <vt:lpwstr>https://www.dropbox.com/s/pwbbpq19uch29e6/Official GDPR Guidance on Portability.pdf?dl=0</vt:lpwstr>
      </vt:variant>
      <vt:variant>
        <vt:lpwstr/>
      </vt:variant>
      <vt:variant>
        <vt:i4>7798900</vt:i4>
      </vt:variant>
      <vt:variant>
        <vt:i4>9</vt:i4>
      </vt:variant>
      <vt:variant>
        <vt:i4>0</vt:i4>
      </vt:variant>
      <vt:variant>
        <vt:i4>5</vt:i4>
      </vt:variant>
      <vt:variant>
        <vt:lpwstr/>
      </vt:variant>
      <vt:variant>
        <vt:lpwstr>two</vt:lpwstr>
      </vt:variant>
      <vt:variant>
        <vt:i4>851974</vt:i4>
      </vt:variant>
      <vt:variant>
        <vt:i4>6</vt:i4>
      </vt:variant>
      <vt:variant>
        <vt:i4>0</vt:i4>
      </vt:variant>
      <vt:variant>
        <vt:i4>5</vt:i4>
      </vt:variant>
      <vt:variant>
        <vt:lpwstr/>
      </vt:variant>
      <vt:variant>
        <vt:lpwstr>three</vt:lpwstr>
      </vt:variant>
      <vt:variant>
        <vt:i4>7209071</vt:i4>
      </vt:variant>
      <vt:variant>
        <vt:i4>3</vt:i4>
      </vt:variant>
      <vt:variant>
        <vt:i4>0</vt:i4>
      </vt:variant>
      <vt:variant>
        <vt:i4>5</vt:i4>
      </vt:variant>
      <vt:variant>
        <vt:lpwstr/>
      </vt:variant>
      <vt:variant>
        <vt:lpwstr>one</vt:lpwstr>
      </vt:variant>
      <vt:variant>
        <vt:i4>1900563</vt:i4>
      </vt:variant>
      <vt:variant>
        <vt:i4>0</vt:i4>
      </vt:variant>
      <vt:variant>
        <vt:i4>0</vt:i4>
      </vt:variant>
      <vt:variant>
        <vt:i4>5</vt:i4>
      </vt:variant>
      <vt:variant>
        <vt:lpwstr/>
      </vt:variant>
      <vt:variant>
        <vt:lpwstr>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cp:lastModifiedBy>Charlotte Woods</cp:lastModifiedBy>
  <cp:revision>2</cp:revision>
  <dcterms:created xsi:type="dcterms:W3CDTF">2018-05-10T11:27:00Z</dcterms:created>
  <dcterms:modified xsi:type="dcterms:W3CDTF">2018-05-10T11:27:00Z</dcterms:modified>
</cp:coreProperties>
</file>