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0D916" w14:textId="73AB221D" w:rsidR="00764478" w:rsidRDefault="009E1F9B" w:rsidP="00764478">
      <w:pPr>
        <w:pStyle w:val="Default"/>
        <w:rPr>
          <w:b/>
          <w:bCs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21E0667" wp14:editId="39BAEB59">
            <wp:simplePos x="0" y="0"/>
            <wp:positionH relativeFrom="margin">
              <wp:posOffset>1123950</wp:posOffset>
            </wp:positionH>
            <wp:positionV relativeFrom="paragraph">
              <wp:posOffset>9525</wp:posOffset>
            </wp:positionV>
            <wp:extent cx="3096260" cy="755650"/>
            <wp:effectExtent l="0" t="0" r="8890" b="6350"/>
            <wp:wrapThrough wrapText="bothSides">
              <wp:wrapPolygon edited="0">
                <wp:start x="0" y="0"/>
                <wp:lineTo x="0" y="21237"/>
                <wp:lineTo x="21529" y="21237"/>
                <wp:lineTo x="2152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26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650459" w14:textId="2C7A8773" w:rsidR="00764478" w:rsidRDefault="00764478" w:rsidP="00764478">
      <w:pPr>
        <w:pStyle w:val="Default"/>
        <w:rPr>
          <w:b/>
          <w:bCs/>
        </w:rPr>
      </w:pPr>
    </w:p>
    <w:p w14:paraId="0A649EA1" w14:textId="77777777" w:rsidR="00764478" w:rsidRDefault="00764478" w:rsidP="00764478">
      <w:pPr>
        <w:pStyle w:val="Default"/>
        <w:rPr>
          <w:b/>
          <w:bCs/>
        </w:rPr>
      </w:pPr>
    </w:p>
    <w:p w14:paraId="5126473A" w14:textId="21F775EC" w:rsidR="00764478" w:rsidRDefault="00764478" w:rsidP="00764478">
      <w:pPr>
        <w:pStyle w:val="Default"/>
        <w:rPr>
          <w:b/>
          <w:bCs/>
        </w:rPr>
      </w:pPr>
    </w:p>
    <w:p w14:paraId="2D739788" w14:textId="77777777" w:rsidR="0029644F" w:rsidRDefault="0029644F" w:rsidP="00764478">
      <w:pPr>
        <w:pStyle w:val="Default"/>
        <w:rPr>
          <w:b/>
          <w:bCs/>
        </w:rPr>
      </w:pPr>
    </w:p>
    <w:p w14:paraId="35FE91A7" w14:textId="77777777" w:rsidR="00EA2984" w:rsidRDefault="00EA2984" w:rsidP="00764478">
      <w:pPr>
        <w:pStyle w:val="Default"/>
        <w:rPr>
          <w:b/>
          <w:bCs/>
        </w:rPr>
      </w:pPr>
    </w:p>
    <w:p w14:paraId="44875383" w14:textId="028F68E4" w:rsidR="00764478" w:rsidRDefault="00EA2984" w:rsidP="00764478">
      <w:pPr>
        <w:pStyle w:val="Default"/>
        <w:rPr>
          <w:b/>
          <w:bCs/>
        </w:rPr>
      </w:pPr>
      <w:r>
        <w:rPr>
          <w:b/>
          <w:bCs/>
        </w:rPr>
        <w:t>DATED:  08 JUNE 2016</w:t>
      </w:r>
    </w:p>
    <w:p w14:paraId="169BA175" w14:textId="77777777" w:rsidR="00764478" w:rsidRPr="009E1F9B" w:rsidRDefault="00764478" w:rsidP="00764478">
      <w:pPr>
        <w:pStyle w:val="Default"/>
        <w:rPr>
          <w:b/>
          <w:bCs/>
          <w:sz w:val="28"/>
          <w:szCs w:val="28"/>
        </w:rPr>
      </w:pPr>
    </w:p>
    <w:p w14:paraId="6B8DC950" w14:textId="77777777" w:rsidR="00764478" w:rsidRPr="009E1F9B" w:rsidRDefault="00764478" w:rsidP="00764478">
      <w:pPr>
        <w:pStyle w:val="Default"/>
        <w:rPr>
          <w:b/>
          <w:bCs/>
          <w:sz w:val="28"/>
          <w:szCs w:val="28"/>
        </w:rPr>
      </w:pPr>
      <w:r w:rsidRPr="009E1F9B">
        <w:rPr>
          <w:b/>
          <w:bCs/>
          <w:sz w:val="28"/>
          <w:szCs w:val="28"/>
        </w:rPr>
        <w:t xml:space="preserve">FIREARMS GUIDANCE UPDATE </w:t>
      </w:r>
    </w:p>
    <w:p w14:paraId="3970EAAA" w14:textId="77777777" w:rsidR="00764478" w:rsidRPr="00764478" w:rsidRDefault="00764478" w:rsidP="00764478">
      <w:pPr>
        <w:pStyle w:val="Default"/>
      </w:pPr>
    </w:p>
    <w:p w14:paraId="3BE7451D" w14:textId="2F0BCC47" w:rsidR="00764478" w:rsidRDefault="00764478" w:rsidP="00764478">
      <w:pPr>
        <w:pStyle w:val="Default"/>
      </w:pPr>
      <w:r w:rsidRPr="00764478">
        <w:t xml:space="preserve">Since the new firearms process went live from 1st April, the </w:t>
      </w:r>
      <w:r w:rsidR="008F3984">
        <w:t>LMC</w:t>
      </w:r>
      <w:r w:rsidRPr="00764478">
        <w:t xml:space="preserve"> </w:t>
      </w:r>
      <w:r w:rsidR="00CF364B">
        <w:t>and the BMA have</w:t>
      </w:r>
      <w:r w:rsidRPr="00764478">
        <w:t xml:space="preserve"> received a</w:t>
      </w:r>
      <w:r w:rsidR="00CF364B">
        <w:t xml:space="preserve"> very large number of concerns raised by </w:t>
      </w:r>
      <w:r w:rsidRPr="00764478">
        <w:t>GPs regarding fees payable for responding to the initial letter received from the po</w:t>
      </w:r>
      <w:r w:rsidR="00CF364B">
        <w:t xml:space="preserve">lice. We are therefore issuing </w:t>
      </w:r>
      <w:r w:rsidRPr="00764478">
        <w:t>guidance (</w:t>
      </w:r>
      <w:r w:rsidR="00CF364B">
        <w:t>as follows</w:t>
      </w:r>
      <w:r w:rsidRPr="00764478">
        <w:t xml:space="preserve">) </w:t>
      </w:r>
      <w:r w:rsidR="00CF364B">
        <w:t>which is consistent with BMA advice: (</w:t>
      </w:r>
      <w:hyperlink r:id="rId9" w:history="1">
        <w:r w:rsidR="00CF364B" w:rsidRPr="007C54A4">
          <w:rPr>
            <w:rStyle w:val="Hyperlink"/>
          </w:rPr>
          <w:t>http://www.bma.org.uk/support-at-work/ethics/confidentiality-and-health-records/firearms</w:t>
        </w:r>
      </w:hyperlink>
      <w:r w:rsidR="00CF364B">
        <w:t xml:space="preserve">). This </w:t>
      </w:r>
      <w:r w:rsidRPr="00764478">
        <w:t xml:space="preserve">states that it is up to the GP to decide whether to undertake the work with or without charging a fee. </w:t>
      </w:r>
    </w:p>
    <w:p w14:paraId="32533CB5" w14:textId="77777777" w:rsidR="00764478" w:rsidRPr="00764478" w:rsidRDefault="00764478" w:rsidP="00764478">
      <w:pPr>
        <w:pStyle w:val="Default"/>
      </w:pPr>
    </w:p>
    <w:p w14:paraId="4108AA6E" w14:textId="77777777" w:rsidR="00764478" w:rsidRDefault="00764478" w:rsidP="00764478">
      <w:pPr>
        <w:pStyle w:val="Default"/>
        <w:rPr>
          <w:b/>
          <w:bCs/>
        </w:rPr>
      </w:pPr>
      <w:r w:rsidRPr="00764478">
        <w:rPr>
          <w:b/>
          <w:bCs/>
        </w:rPr>
        <w:t xml:space="preserve">Fees for responding to the Police letter regarding firearms </w:t>
      </w:r>
    </w:p>
    <w:p w14:paraId="047F103C" w14:textId="77777777" w:rsidR="00764478" w:rsidRPr="00764478" w:rsidRDefault="00764478" w:rsidP="00764478">
      <w:pPr>
        <w:pStyle w:val="Default"/>
      </w:pPr>
    </w:p>
    <w:p w14:paraId="241C3620" w14:textId="052DFF9A" w:rsidR="00764478" w:rsidRDefault="00CF364B" w:rsidP="00764478">
      <w:pPr>
        <w:pStyle w:val="Default"/>
      </w:pPr>
      <w:r>
        <w:t xml:space="preserve">The BMA and LMC representatives have had </w:t>
      </w:r>
      <w:r w:rsidR="00764478" w:rsidRPr="00764478">
        <w:t xml:space="preserve">discussions with the Home Office, Police and shooting representatives </w:t>
      </w:r>
      <w:r>
        <w:t xml:space="preserve">and </w:t>
      </w:r>
      <w:r w:rsidR="00764478" w:rsidRPr="00764478">
        <w:t>have faced continual challenges that have been particularly difficult to resolve</w:t>
      </w:r>
      <w:r>
        <w:t xml:space="preserve">. </w:t>
      </w:r>
      <w:r w:rsidR="00E40D01">
        <w:t xml:space="preserve">It </w:t>
      </w:r>
      <w:r>
        <w:t xml:space="preserve">has been </w:t>
      </w:r>
      <w:r w:rsidR="00764478" w:rsidRPr="00764478">
        <w:t xml:space="preserve">made </w:t>
      </w:r>
      <w:r>
        <w:t xml:space="preserve">clear </w:t>
      </w:r>
      <w:r w:rsidR="00764478" w:rsidRPr="00764478">
        <w:t xml:space="preserve">that this work is not part of a GP’s contract and therefore GPs are able to charge a fee. </w:t>
      </w:r>
      <w:r>
        <w:t xml:space="preserve"> O</w:t>
      </w:r>
      <w:r w:rsidR="00764478" w:rsidRPr="00764478">
        <w:t>riginal proposal</w:t>
      </w:r>
      <w:r>
        <w:t>s</w:t>
      </w:r>
      <w:r w:rsidR="00764478" w:rsidRPr="00764478">
        <w:t xml:space="preserve"> to improve the process was rejected by ministers and so we </w:t>
      </w:r>
      <w:r>
        <w:t>have had new processes implemented. T</w:t>
      </w:r>
      <w:r w:rsidR="00764478" w:rsidRPr="00764478">
        <w:t xml:space="preserve">here has been a clear message from </w:t>
      </w:r>
      <w:r w:rsidR="0029644F">
        <w:t xml:space="preserve">GPs throughout the country </w:t>
      </w:r>
      <w:r w:rsidR="00764478" w:rsidRPr="00764478">
        <w:t xml:space="preserve">that there are concerns and </w:t>
      </w:r>
      <w:r w:rsidR="0029644F">
        <w:t xml:space="preserve">these have been raised </w:t>
      </w:r>
      <w:r w:rsidR="00764478" w:rsidRPr="00764478">
        <w:t>with the Home Office</w:t>
      </w:r>
      <w:r w:rsidR="0029644F">
        <w:t xml:space="preserve">. </w:t>
      </w:r>
      <w:r w:rsidR="00764478" w:rsidRPr="00764478">
        <w:t xml:space="preserve">We will continue to seek further resolutions to the process. </w:t>
      </w:r>
    </w:p>
    <w:p w14:paraId="69553FDE" w14:textId="11B353C7" w:rsidR="00764478" w:rsidRPr="0029644F" w:rsidRDefault="00764478" w:rsidP="00764478">
      <w:pPr>
        <w:pStyle w:val="Default"/>
        <w:rPr>
          <w:b/>
        </w:rPr>
      </w:pPr>
    </w:p>
    <w:p w14:paraId="27A1A4D4" w14:textId="42AE0CD5" w:rsidR="0029644F" w:rsidRPr="0029644F" w:rsidRDefault="0029644F" w:rsidP="00764478">
      <w:pPr>
        <w:pStyle w:val="Default"/>
        <w:rPr>
          <w:b/>
        </w:rPr>
      </w:pPr>
      <w:r w:rsidRPr="0029644F">
        <w:rPr>
          <w:b/>
        </w:rPr>
        <w:t>The LLR LMC recommends the following:</w:t>
      </w:r>
    </w:p>
    <w:p w14:paraId="2A2F1455" w14:textId="77777777" w:rsidR="0029644F" w:rsidRPr="00764478" w:rsidRDefault="0029644F" w:rsidP="00764478">
      <w:pPr>
        <w:pStyle w:val="Default"/>
      </w:pPr>
    </w:p>
    <w:p w14:paraId="0680041D" w14:textId="77777777" w:rsidR="00764478" w:rsidRDefault="00764478" w:rsidP="00764478">
      <w:pPr>
        <w:pStyle w:val="Default"/>
        <w:rPr>
          <w:b/>
          <w:bCs/>
        </w:rPr>
      </w:pPr>
      <w:r w:rsidRPr="00764478">
        <w:rPr>
          <w:b/>
          <w:bCs/>
        </w:rPr>
        <w:t xml:space="preserve">BMA revised guidance on fees </w:t>
      </w:r>
    </w:p>
    <w:p w14:paraId="782A858D" w14:textId="77777777" w:rsidR="00764478" w:rsidRPr="00764478" w:rsidRDefault="00764478" w:rsidP="00764478">
      <w:pPr>
        <w:pStyle w:val="Default"/>
      </w:pPr>
    </w:p>
    <w:p w14:paraId="12527B32" w14:textId="77777777" w:rsidR="00764478" w:rsidRDefault="00764478" w:rsidP="00764478">
      <w:pPr>
        <w:pStyle w:val="Default"/>
      </w:pPr>
      <w:r w:rsidRPr="00764478">
        <w:t xml:space="preserve">The response to the Police’s letter indicating whether there are any concerns and that a code on the patient’s medical record as been added is not part of a GP’s contract. It is therefore up to the GP to assess how best to proceed taking on board the following factors and guidance: </w:t>
      </w:r>
    </w:p>
    <w:p w14:paraId="014CE224" w14:textId="77777777" w:rsidR="00764478" w:rsidRPr="00764478" w:rsidRDefault="00764478" w:rsidP="00764478">
      <w:pPr>
        <w:pStyle w:val="Default"/>
      </w:pPr>
    </w:p>
    <w:p w14:paraId="08E64775" w14:textId="68A62AC4" w:rsidR="00764478" w:rsidRDefault="00764478" w:rsidP="0029644F">
      <w:pPr>
        <w:pStyle w:val="Default"/>
        <w:numPr>
          <w:ilvl w:val="0"/>
          <w:numId w:val="1"/>
        </w:numPr>
      </w:pPr>
      <w:r w:rsidRPr="00764478">
        <w:t xml:space="preserve">The work involved in responding to the letter is minimal and therefore can be undertaken easily without delay and without a fee. </w:t>
      </w:r>
    </w:p>
    <w:p w14:paraId="22CCA08B" w14:textId="77777777" w:rsidR="0029644F" w:rsidRPr="00764478" w:rsidRDefault="0029644F" w:rsidP="0029644F">
      <w:pPr>
        <w:pStyle w:val="Default"/>
        <w:ind w:left="360"/>
      </w:pPr>
    </w:p>
    <w:p w14:paraId="05500E7A" w14:textId="0A46C56F" w:rsidR="00764478" w:rsidRDefault="00764478" w:rsidP="00F074FE">
      <w:pPr>
        <w:pStyle w:val="Default"/>
        <w:numPr>
          <w:ilvl w:val="0"/>
          <w:numId w:val="1"/>
        </w:numPr>
      </w:pPr>
      <w:r w:rsidRPr="00764478">
        <w:t xml:space="preserve">The work involved in responding to the letter requires time and resources from the practice that necessitate a fee to be charged to the patient (the Police should not be charged). We would advise GPs to seek confirmation from the patient that they are in agreement to pay a fee before undertaking the work so not to cause additional confusion or delay. If there is a delay owing to this and you are unable to respond to the letter within the 21 days, please notify the police of this. </w:t>
      </w:r>
    </w:p>
    <w:p w14:paraId="4A476A06" w14:textId="77777777" w:rsidR="00AE3A09" w:rsidRPr="00764478" w:rsidRDefault="00AE3A09" w:rsidP="00764478">
      <w:pPr>
        <w:pStyle w:val="Default"/>
      </w:pPr>
    </w:p>
    <w:p w14:paraId="6B480FEC" w14:textId="29DC070E" w:rsidR="00764478" w:rsidRDefault="00764478" w:rsidP="00F074FE">
      <w:pPr>
        <w:pStyle w:val="Default"/>
        <w:numPr>
          <w:ilvl w:val="0"/>
          <w:numId w:val="1"/>
        </w:numPr>
      </w:pPr>
      <w:r w:rsidRPr="00764478">
        <w:t xml:space="preserve">No one in the practice is available (e.g. on holiday or off sick) to complete the work within 21 days. Please notify the police without delay. </w:t>
      </w:r>
    </w:p>
    <w:p w14:paraId="4697B404" w14:textId="77777777" w:rsidR="00764478" w:rsidRPr="00764478" w:rsidRDefault="00764478" w:rsidP="00764478">
      <w:pPr>
        <w:pStyle w:val="Default"/>
      </w:pPr>
    </w:p>
    <w:p w14:paraId="44E1CADB" w14:textId="1183CD24" w:rsidR="00764478" w:rsidRDefault="00764478" w:rsidP="00F074FE">
      <w:pPr>
        <w:pStyle w:val="Default"/>
        <w:numPr>
          <w:ilvl w:val="0"/>
          <w:numId w:val="1"/>
        </w:numPr>
      </w:pPr>
      <w:r w:rsidRPr="00764478">
        <w:t xml:space="preserve">The practice does not have the capacity to undertake the work within the 21 days. Please notify the police without delay. </w:t>
      </w:r>
    </w:p>
    <w:p w14:paraId="252FFF63" w14:textId="77777777" w:rsidR="00764478" w:rsidRPr="00764478" w:rsidRDefault="00764478" w:rsidP="00764478">
      <w:pPr>
        <w:pStyle w:val="Default"/>
      </w:pPr>
    </w:p>
    <w:p w14:paraId="3D654BE9" w14:textId="7319A464" w:rsidR="00764478" w:rsidRDefault="00764478" w:rsidP="00F074FE">
      <w:pPr>
        <w:pStyle w:val="Default"/>
        <w:numPr>
          <w:ilvl w:val="0"/>
          <w:numId w:val="1"/>
        </w:numPr>
      </w:pPr>
      <w:r w:rsidRPr="00764478">
        <w:t xml:space="preserve">That the GP has a conscientious objection to gun ownership and no other GP in the practice is available or able to undertake the work. Please notify the police without delay. </w:t>
      </w:r>
    </w:p>
    <w:p w14:paraId="1A2FBC51" w14:textId="251862F1" w:rsidR="004723A6" w:rsidRDefault="004723A6" w:rsidP="00764478">
      <w:pPr>
        <w:pStyle w:val="Default"/>
      </w:pPr>
    </w:p>
    <w:p w14:paraId="33988DA5" w14:textId="346FD9D3" w:rsidR="004723A6" w:rsidRDefault="004723A6" w:rsidP="00764478">
      <w:pPr>
        <w:pStyle w:val="Default"/>
      </w:pPr>
    </w:p>
    <w:p w14:paraId="42045356" w14:textId="1ACF6FA8" w:rsidR="004723A6" w:rsidRDefault="004723A6" w:rsidP="00764478">
      <w:pPr>
        <w:pStyle w:val="Default"/>
      </w:pPr>
    </w:p>
    <w:p w14:paraId="22FB52C1" w14:textId="21813E3A" w:rsidR="004723A6" w:rsidRDefault="004723A6" w:rsidP="00764478">
      <w:pPr>
        <w:pStyle w:val="Default"/>
      </w:pPr>
    </w:p>
    <w:p w14:paraId="763D0E82" w14:textId="34EA673E" w:rsidR="004723A6" w:rsidRDefault="004723A6" w:rsidP="00764478">
      <w:pPr>
        <w:pStyle w:val="Default"/>
      </w:pPr>
    </w:p>
    <w:p w14:paraId="1F877956" w14:textId="073AF8EC" w:rsidR="004723A6" w:rsidRDefault="004723A6" w:rsidP="00764478">
      <w:pPr>
        <w:pStyle w:val="Default"/>
      </w:pPr>
    </w:p>
    <w:p w14:paraId="7C6C319A" w14:textId="000BDAA3" w:rsidR="004723A6" w:rsidRDefault="004723A6" w:rsidP="00764478">
      <w:pPr>
        <w:pStyle w:val="Default"/>
      </w:pPr>
    </w:p>
    <w:p w14:paraId="61CF414E" w14:textId="02C9A080" w:rsidR="004723A6" w:rsidRDefault="004723A6" w:rsidP="00764478">
      <w:pPr>
        <w:pStyle w:val="Default"/>
      </w:pPr>
    </w:p>
    <w:p w14:paraId="0C1F0820" w14:textId="772AE5B0" w:rsidR="004723A6" w:rsidRDefault="004723A6" w:rsidP="00764478">
      <w:pPr>
        <w:pStyle w:val="Default"/>
      </w:pPr>
    </w:p>
    <w:p w14:paraId="43BA9A0F" w14:textId="673D1266" w:rsidR="004723A6" w:rsidRDefault="004723A6" w:rsidP="00764478">
      <w:pPr>
        <w:pStyle w:val="Default"/>
      </w:pPr>
    </w:p>
    <w:p w14:paraId="2CF7B656" w14:textId="7A42DFEC" w:rsidR="004723A6" w:rsidRDefault="004723A6" w:rsidP="00764478">
      <w:pPr>
        <w:pStyle w:val="Default"/>
      </w:pPr>
    </w:p>
    <w:p w14:paraId="72956069" w14:textId="14F5019B" w:rsidR="004723A6" w:rsidRDefault="004723A6" w:rsidP="00764478">
      <w:pPr>
        <w:pStyle w:val="Default"/>
      </w:pPr>
    </w:p>
    <w:p w14:paraId="164B54D4" w14:textId="6341BC4B" w:rsidR="004723A6" w:rsidRDefault="004723A6" w:rsidP="00764478">
      <w:pPr>
        <w:pStyle w:val="Default"/>
      </w:pPr>
    </w:p>
    <w:p w14:paraId="6BE18819" w14:textId="131F3994" w:rsidR="004723A6" w:rsidRDefault="004723A6" w:rsidP="00764478">
      <w:pPr>
        <w:pStyle w:val="Default"/>
      </w:pPr>
    </w:p>
    <w:p w14:paraId="2FF09425" w14:textId="350A86F0" w:rsidR="004723A6" w:rsidRDefault="004723A6" w:rsidP="00764478">
      <w:pPr>
        <w:pStyle w:val="Default"/>
      </w:pPr>
    </w:p>
    <w:p w14:paraId="6FE765C6" w14:textId="18BE7391" w:rsidR="004723A6" w:rsidRDefault="004723A6" w:rsidP="00764478">
      <w:pPr>
        <w:pStyle w:val="Default"/>
      </w:pPr>
    </w:p>
    <w:p w14:paraId="5D6444BC" w14:textId="7E4D29E7" w:rsidR="004723A6" w:rsidRDefault="004723A6" w:rsidP="00764478">
      <w:pPr>
        <w:pStyle w:val="Default"/>
      </w:pPr>
    </w:p>
    <w:p w14:paraId="714D8C1C" w14:textId="0ADD014A" w:rsidR="004723A6" w:rsidRDefault="004723A6" w:rsidP="00764478">
      <w:pPr>
        <w:pStyle w:val="Default"/>
      </w:pPr>
    </w:p>
    <w:p w14:paraId="5B873CA3" w14:textId="692E3201" w:rsidR="004723A6" w:rsidRDefault="004723A6" w:rsidP="00764478">
      <w:pPr>
        <w:pStyle w:val="Default"/>
      </w:pPr>
    </w:p>
    <w:p w14:paraId="2C413764" w14:textId="6EBA0E7B" w:rsidR="004723A6" w:rsidRDefault="004723A6" w:rsidP="00764478">
      <w:pPr>
        <w:pStyle w:val="Default"/>
      </w:pPr>
    </w:p>
    <w:p w14:paraId="72CA7F7D" w14:textId="5AB0A54A" w:rsidR="004723A6" w:rsidRDefault="004723A6" w:rsidP="00764478">
      <w:pPr>
        <w:pStyle w:val="Default"/>
      </w:pPr>
    </w:p>
    <w:p w14:paraId="45C1FFEB" w14:textId="03CD5281" w:rsidR="004723A6" w:rsidRDefault="004723A6" w:rsidP="00764478">
      <w:pPr>
        <w:pStyle w:val="Default"/>
      </w:pPr>
    </w:p>
    <w:p w14:paraId="76E2D782" w14:textId="1C7113D3" w:rsidR="004723A6" w:rsidRDefault="004723A6" w:rsidP="00764478">
      <w:pPr>
        <w:pStyle w:val="Default"/>
      </w:pPr>
    </w:p>
    <w:p w14:paraId="3912474A" w14:textId="14738CD9" w:rsidR="004723A6" w:rsidRDefault="004723A6" w:rsidP="00764478">
      <w:pPr>
        <w:pStyle w:val="Default"/>
      </w:pPr>
    </w:p>
    <w:p w14:paraId="2FEF1E46" w14:textId="7D5B4397" w:rsidR="004723A6" w:rsidRDefault="004723A6" w:rsidP="00764478">
      <w:pPr>
        <w:pStyle w:val="Default"/>
      </w:pPr>
    </w:p>
    <w:p w14:paraId="313CF0B7" w14:textId="574143F6" w:rsidR="004723A6" w:rsidRDefault="004723A6" w:rsidP="00764478">
      <w:pPr>
        <w:pStyle w:val="Default"/>
      </w:pPr>
    </w:p>
    <w:p w14:paraId="00010604" w14:textId="77777777" w:rsidR="004723A6" w:rsidRDefault="004723A6" w:rsidP="004723A6">
      <w:pPr>
        <w:pStyle w:val="Footer"/>
        <w:jc w:val="center"/>
        <w:rPr>
          <w:b/>
          <w:color w:val="1F4E79" w:themeColor="accent1" w:themeShade="80"/>
          <w:sz w:val="28"/>
          <w:szCs w:val="28"/>
        </w:rPr>
      </w:pPr>
    </w:p>
    <w:p w14:paraId="1BE1096D" w14:textId="1D6CB6BF" w:rsidR="004723A6" w:rsidRDefault="004723A6" w:rsidP="004723A6">
      <w:pPr>
        <w:pStyle w:val="Footer"/>
        <w:jc w:val="center"/>
        <w:rPr>
          <w:b/>
          <w:color w:val="1F4E79" w:themeColor="accent1" w:themeShade="80"/>
          <w:sz w:val="28"/>
          <w:szCs w:val="28"/>
        </w:rPr>
      </w:pPr>
    </w:p>
    <w:p w14:paraId="6EAB71FC" w14:textId="34F00CC8" w:rsidR="0029644F" w:rsidRDefault="0029644F" w:rsidP="004723A6">
      <w:pPr>
        <w:pStyle w:val="Footer"/>
        <w:jc w:val="center"/>
        <w:rPr>
          <w:b/>
          <w:color w:val="1F4E79" w:themeColor="accent1" w:themeShade="80"/>
          <w:sz w:val="28"/>
          <w:szCs w:val="28"/>
        </w:rPr>
      </w:pPr>
    </w:p>
    <w:p w14:paraId="78273250" w14:textId="53893B37" w:rsidR="0029644F" w:rsidRDefault="0029644F" w:rsidP="004723A6">
      <w:pPr>
        <w:pStyle w:val="Footer"/>
        <w:jc w:val="center"/>
        <w:rPr>
          <w:b/>
          <w:color w:val="1F4E79" w:themeColor="accent1" w:themeShade="80"/>
          <w:sz w:val="28"/>
          <w:szCs w:val="28"/>
        </w:rPr>
      </w:pPr>
    </w:p>
    <w:p w14:paraId="52B18ACA" w14:textId="333DB5C6" w:rsidR="0029644F" w:rsidRDefault="0029644F" w:rsidP="004723A6">
      <w:pPr>
        <w:pStyle w:val="Footer"/>
        <w:jc w:val="center"/>
        <w:rPr>
          <w:b/>
          <w:color w:val="1F4E79" w:themeColor="accent1" w:themeShade="80"/>
          <w:sz w:val="28"/>
          <w:szCs w:val="28"/>
        </w:rPr>
      </w:pPr>
    </w:p>
    <w:p w14:paraId="61734C16" w14:textId="0849A17D" w:rsidR="0029644F" w:rsidRDefault="0029644F" w:rsidP="004723A6">
      <w:pPr>
        <w:pStyle w:val="Footer"/>
        <w:jc w:val="center"/>
        <w:rPr>
          <w:b/>
          <w:color w:val="1F4E79" w:themeColor="accent1" w:themeShade="80"/>
          <w:sz w:val="28"/>
          <w:szCs w:val="28"/>
        </w:rPr>
      </w:pPr>
    </w:p>
    <w:p w14:paraId="0BC4DC01" w14:textId="62B47E65" w:rsidR="0029644F" w:rsidRDefault="0029644F" w:rsidP="004723A6">
      <w:pPr>
        <w:pStyle w:val="Footer"/>
        <w:jc w:val="center"/>
        <w:rPr>
          <w:b/>
          <w:color w:val="1F4E79" w:themeColor="accent1" w:themeShade="80"/>
          <w:sz w:val="28"/>
          <w:szCs w:val="28"/>
        </w:rPr>
      </w:pPr>
    </w:p>
    <w:p w14:paraId="4161E30D" w14:textId="76473A1E" w:rsidR="0029644F" w:rsidRDefault="0029644F" w:rsidP="004723A6">
      <w:pPr>
        <w:pStyle w:val="Footer"/>
        <w:jc w:val="center"/>
        <w:rPr>
          <w:b/>
          <w:color w:val="1F4E79" w:themeColor="accent1" w:themeShade="80"/>
          <w:sz w:val="28"/>
          <w:szCs w:val="28"/>
        </w:rPr>
      </w:pPr>
    </w:p>
    <w:p w14:paraId="258D90A7" w14:textId="2AA07029" w:rsidR="0029644F" w:rsidRDefault="0029644F" w:rsidP="004723A6">
      <w:pPr>
        <w:pStyle w:val="Footer"/>
        <w:jc w:val="center"/>
        <w:rPr>
          <w:b/>
          <w:color w:val="1F4E79" w:themeColor="accent1" w:themeShade="80"/>
          <w:sz w:val="28"/>
          <w:szCs w:val="28"/>
        </w:rPr>
      </w:pPr>
    </w:p>
    <w:p w14:paraId="67FB95C8" w14:textId="77777777" w:rsidR="0029644F" w:rsidRDefault="0029644F" w:rsidP="004723A6">
      <w:pPr>
        <w:pStyle w:val="Footer"/>
        <w:jc w:val="center"/>
        <w:rPr>
          <w:b/>
          <w:color w:val="1F4E79" w:themeColor="accent1" w:themeShade="80"/>
          <w:sz w:val="28"/>
          <w:szCs w:val="28"/>
        </w:rPr>
      </w:pPr>
    </w:p>
    <w:p w14:paraId="5F779C08" w14:textId="3ECB64A6" w:rsidR="004723A6" w:rsidRPr="008A39BA" w:rsidRDefault="004723A6" w:rsidP="004723A6">
      <w:pPr>
        <w:pStyle w:val="Footer"/>
        <w:jc w:val="center"/>
        <w:rPr>
          <w:b/>
          <w:color w:val="44BAC4"/>
          <w:sz w:val="28"/>
          <w:szCs w:val="28"/>
          <w14:textFill>
            <w14:solidFill>
              <w14:srgbClr w14:val="44BAC4">
                <w14:lumMod w14:val="75000"/>
              </w14:srgbClr>
            </w14:solidFill>
          </w14:textFill>
        </w:rPr>
      </w:pPr>
      <w:r w:rsidRPr="008A39BA">
        <w:rPr>
          <w:b/>
          <w:color w:val="1F4E79" w:themeColor="accent1" w:themeShade="80"/>
          <w:sz w:val="28"/>
          <w:szCs w:val="28"/>
        </w:rPr>
        <w:t>ADVISE</w:t>
      </w:r>
      <w:r w:rsidRPr="008A39BA">
        <w:rPr>
          <w:b/>
          <w:color w:val="44BAC4"/>
          <w:sz w:val="28"/>
          <w:szCs w:val="28"/>
        </w:rPr>
        <w:t xml:space="preserve">   SUPPORT   </w:t>
      </w:r>
      <w:r w:rsidRPr="008A39BA">
        <w:rPr>
          <w:b/>
          <w:color w:val="1F4E79" w:themeColor="accent1" w:themeShade="80"/>
          <w:sz w:val="28"/>
          <w:szCs w:val="28"/>
        </w:rPr>
        <w:t>REPRESENT</w:t>
      </w:r>
    </w:p>
    <w:p w14:paraId="0AA9C663" w14:textId="77777777" w:rsidR="004723A6" w:rsidRDefault="004723A6" w:rsidP="004723A6">
      <w:pPr>
        <w:pStyle w:val="Footer"/>
        <w:jc w:val="center"/>
        <w:rPr>
          <w:color w:val="00B0F0"/>
        </w:rPr>
      </w:pPr>
      <w:r w:rsidRPr="009C350D">
        <w:rPr>
          <w:color w:val="00B0F0"/>
        </w:rPr>
        <w:t>Leicester, Leicestershire and Rutland Local Medical Committee</w:t>
      </w:r>
    </w:p>
    <w:p w14:paraId="2E2C7186" w14:textId="77777777" w:rsidR="004723A6" w:rsidRPr="009C350D" w:rsidRDefault="004723A6" w:rsidP="004723A6">
      <w:pPr>
        <w:pStyle w:val="Footer"/>
        <w:jc w:val="center"/>
        <w:rPr>
          <w:color w:val="2F5496" w:themeColor="accent5" w:themeShade="BF"/>
        </w:rPr>
      </w:pPr>
      <w:r w:rsidRPr="009C350D">
        <w:rPr>
          <w:color w:val="2F5496" w:themeColor="accent5" w:themeShade="BF"/>
        </w:rPr>
        <w:t>Binder House, Unit 7, Narborough Wood Park, Desford Road, Enderby, Leicestershire, LE19 4XT</w:t>
      </w:r>
    </w:p>
    <w:p w14:paraId="7A0BE5F0" w14:textId="77777777" w:rsidR="004723A6" w:rsidRPr="009C350D" w:rsidRDefault="004723A6" w:rsidP="004723A6">
      <w:pPr>
        <w:pStyle w:val="Footer"/>
        <w:jc w:val="center"/>
        <w:rPr>
          <w:color w:val="2F5496" w:themeColor="accent5" w:themeShade="BF"/>
        </w:rPr>
      </w:pPr>
      <w:r w:rsidRPr="009C350D">
        <w:rPr>
          <w:color w:val="2F5496" w:themeColor="accent5" w:themeShade="BF"/>
        </w:rPr>
        <w:t xml:space="preserve">enquiries@llrlmc.co.uk    www.llrlmc.co.uk    </w:t>
      </w:r>
      <w:r>
        <w:rPr>
          <w:color w:val="2F5496" w:themeColor="accent5" w:themeShade="BF"/>
        </w:rPr>
        <w:t>0116 296 2950</w:t>
      </w:r>
    </w:p>
    <w:p w14:paraId="70AE04A6" w14:textId="0C79626D" w:rsidR="004723A6" w:rsidRPr="00764478" w:rsidRDefault="004723A6" w:rsidP="00667E32">
      <w:pPr>
        <w:pStyle w:val="Footer"/>
        <w:jc w:val="center"/>
      </w:pPr>
      <w:r>
        <w:rPr>
          <w:color w:val="2F5496" w:themeColor="accent5" w:themeShade="BF"/>
          <w:sz w:val="13"/>
          <w:szCs w:val="13"/>
        </w:rPr>
        <w:t>C</w:t>
      </w:r>
      <w:r w:rsidRPr="009C350D">
        <w:rPr>
          <w:color w:val="2F5496" w:themeColor="accent5" w:themeShade="BF"/>
          <w:sz w:val="13"/>
          <w:szCs w:val="13"/>
        </w:rPr>
        <w:t>ompany Registration number</w:t>
      </w:r>
      <w:r>
        <w:rPr>
          <w:color w:val="2F5496" w:themeColor="accent5" w:themeShade="BF"/>
          <w:sz w:val="13"/>
          <w:szCs w:val="13"/>
        </w:rPr>
        <w:t xml:space="preserve">: </w:t>
      </w:r>
      <w:r w:rsidRPr="009C350D">
        <w:rPr>
          <w:color w:val="2F5496" w:themeColor="accent5" w:themeShade="BF"/>
          <w:sz w:val="13"/>
          <w:szCs w:val="13"/>
        </w:rPr>
        <w:t xml:space="preserve"> 06278584 Place of registration:  England and Wales Registered office:  Edward House, Grange Business Park, Leicester, LE8 6EP</w:t>
      </w:r>
    </w:p>
    <w:sectPr w:rsidR="004723A6" w:rsidRPr="00764478" w:rsidSect="009E1F9B">
      <w:headerReference w:type="default" r:id="rId10"/>
      <w:footerReference w:type="default" r:id="rId11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03045" w14:textId="77777777" w:rsidR="002D6070" w:rsidRDefault="002D6070" w:rsidP="00764478">
      <w:pPr>
        <w:spacing w:after="0" w:line="240" w:lineRule="auto"/>
      </w:pPr>
      <w:r>
        <w:separator/>
      </w:r>
    </w:p>
  </w:endnote>
  <w:endnote w:type="continuationSeparator" w:id="0">
    <w:p w14:paraId="68A15047" w14:textId="77777777" w:rsidR="002D6070" w:rsidRDefault="002D6070" w:rsidP="0076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21321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80A342" w14:textId="1AD164B7" w:rsidR="009E1F9B" w:rsidRDefault="009E1F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65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17E85C" w14:textId="77777777" w:rsidR="00764478" w:rsidRDefault="007644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0C3E5" w14:textId="77777777" w:rsidR="002D6070" w:rsidRDefault="002D6070" w:rsidP="00764478">
      <w:pPr>
        <w:spacing w:after="0" w:line="240" w:lineRule="auto"/>
      </w:pPr>
      <w:r>
        <w:separator/>
      </w:r>
    </w:p>
  </w:footnote>
  <w:footnote w:type="continuationSeparator" w:id="0">
    <w:p w14:paraId="39C7C607" w14:textId="77777777" w:rsidR="002D6070" w:rsidRDefault="002D6070" w:rsidP="00764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C12A9" w14:textId="3E397E66" w:rsidR="00764478" w:rsidRDefault="00764478" w:rsidP="00667E3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325E1"/>
    <w:multiLevelType w:val="hybridMultilevel"/>
    <w:tmpl w:val="39CCD25C"/>
    <w:lvl w:ilvl="0" w:tplc="A8DEE8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CB5C64"/>
    <w:multiLevelType w:val="hybridMultilevel"/>
    <w:tmpl w:val="4D146A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78"/>
    <w:rsid w:val="0029644F"/>
    <w:rsid w:val="002D6070"/>
    <w:rsid w:val="004723A6"/>
    <w:rsid w:val="00512E89"/>
    <w:rsid w:val="005C2EC8"/>
    <w:rsid w:val="00667E32"/>
    <w:rsid w:val="00764478"/>
    <w:rsid w:val="00803CD7"/>
    <w:rsid w:val="008F3984"/>
    <w:rsid w:val="009E1F9B"/>
    <w:rsid w:val="00AE3A09"/>
    <w:rsid w:val="00C00340"/>
    <w:rsid w:val="00CF364B"/>
    <w:rsid w:val="00D8658A"/>
    <w:rsid w:val="00E40D01"/>
    <w:rsid w:val="00EA2984"/>
    <w:rsid w:val="00F0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620464"/>
  <w15:chartTrackingRefBased/>
  <w15:docId w15:val="{9F801D0B-3C1A-46BB-A728-35047670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44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4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478"/>
  </w:style>
  <w:style w:type="paragraph" w:styleId="Footer">
    <w:name w:val="footer"/>
    <w:basedOn w:val="Normal"/>
    <w:link w:val="FooterChar"/>
    <w:uiPriority w:val="99"/>
    <w:unhideWhenUsed/>
    <w:rsid w:val="00764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478"/>
  </w:style>
  <w:style w:type="character" w:styleId="Hyperlink">
    <w:name w:val="Hyperlink"/>
    <w:basedOn w:val="DefaultParagraphFont"/>
    <w:uiPriority w:val="99"/>
    <w:unhideWhenUsed/>
    <w:rsid w:val="00CF36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ma.org.uk/support-at-work/ethics/confidentiality-and-health-records/firea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39261-712F-474B-A7FA-EB632A411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Commons</dc:creator>
  <cp:keywords/>
  <dc:description/>
  <cp:lastModifiedBy>Charlotte Woods</cp:lastModifiedBy>
  <cp:revision>2</cp:revision>
  <cp:lastPrinted>2016-06-09T12:27:00Z</cp:lastPrinted>
  <dcterms:created xsi:type="dcterms:W3CDTF">2016-06-21T11:59:00Z</dcterms:created>
  <dcterms:modified xsi:type="dcterms:W3CDTF">2016-06-21T11:59:00Z</dcterms:modified>
</cp:coreProperties>
</file>