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9CA7" w14:textId="77777777" w:rsidR="00EE31EE" w:rsidRDefault="00EE31EE" w:rsidP="00EE31EE">
      <w:pPr>
        <w:spacing w:after="0" w:line="240" w:lineRule="auto"/>
      </w:pPr>
    </w:p>
    <w:p w14:paraId="337BAF5A" w14:textId="77777777" w:rsidR="00EE31EE" w:rsidRDefault="00EE31EE" w:rsidP="00EE31EE">
      <w:pPr>
        <w:spacing w:after="0" w:line="240" w:lineRule="auto"/>
      </w:pPr>
      <w:r>
        <w:t xml:space="preserve">PLEASE NOTE THAT THIS IS </w:t>
      </w:r>
      <w:r w:rsidRPr="00E70AA7">
        <w:rPr>
          <w:b/>
          <w:bCs/>
          <w:color w:val="FF0000"/>
        </w:rPr>
        <w:t>DRAFT GUIDANCE</w:t>
      </w:r>
      <w:r>
        <w:t>, AND THERE MAY BE CHANGES PRIOR TO GOING LIVE AS SOME LEGISLATION AND SUPPORTING NATIONAL GUIDANCE IS STILL IN DRAFT FORM.</w:t>
      </w:r>
    </w:p>
    <w:p w14:paraId="2B02CCC3" w14:textId="77777777" w:rsidR="00EE31EE" w:rsidRDefault="00EE31EE" w:rsidP="00EE31EE">
      <w:pPr>
        <w:spacing w:after="0" w:line="240" w:lineRule="auto"/>
      </w:pPr>
    </w:p>
    <w:p w14:paraId="2576301B" w14:textId="77777777" w:rsidR="00EE31EE" w:rsidRDefault="00EE31EE" w:rsidP="00EE31EE">
      <w:pPr>
        <w:tabs>
          <w:tab w:val="left" w:pos="426"/>
        </w:tabs>
        <w:spacing w:after="0" w:line="240" w:lineRule="auto"/>
        <w:ind w:left="426" w:hanging="426"/>
      </w:pPr>
      <w:r>
        <w:t>1)</w:t>
      </w:r>
      <w:r>
        <w:tab/>
        <w:t xml:space="preserve">The processes to be </w:t>
      </w:r>
      <w:proofErr w:type="gramStart"/>
      <w:r>
        <w:t>followed after</w:t>
      </w:r>
      <w:proofErr w:type="gramEnd"/>
      <w:r>
        <w:t xml:space="preserve"> death will be changing significantly in 2024. Although it is expected to be implemented during April 2024 it may be delayed until later in the year.  This short guide for GPs has been written with the kind input from the Senior Coroner, Senior Medical Examiner, Senior </w:t>
      </w:r>
      <w:proofErr w:type="gramStart"/>
      <w:r>
        <w:t>Registrar</w:t>
      </w:r>
      <w:proofErr w:type="gramEnd"/>
      <w:r>
        <w:t xml:space="preserve"> and a Funeral Director.</w:t>
      </w:r>
    </w:p>
    <w:p w14:paraId="4220386D" w14:textId="77777777" w:rsidR="00EE31EE" w:rsidRDefault="00EE31EE" w:rsidP="00EE31EE">
      <w:pPr>
        <w:tabs>
          <w:tab w:val="left" w:pos="426"/>
        </w:tabs>
        <w:spacing w:after="0" w:line="240" w:lineRule="auto"/>
        <w:ind w:left="360"/>
      </w:pPr>
    </w:p>
    <w:p w14:paraId="69218569" w14:textId="77777777" w:rsidR="00EE31EE" w:rsidRDefault="00EE31EE" w:rsidP="00EE31EE">
      <w:pPr>
        <w:tabs>
          <w:tab w:val="left" w:pos="426"/>
        </w:tabs>
        <w:spacing w:after="0" w:line="240" w:lineRule="auto"/>
      </w:pPr>
      <w:r>
        <w:t>2)</w:t>
      </w:r>
      <w:r>
        <w:tab/>
        <w:t>The main changes that will affect GPs are:</w:t>
      </w:r>
    </w:p>
    <w:p w14:paraId="460808DA" w14:textId="77777777" w:rsidR="00EE31EE" w:rsidRDefault="00EE31EE" w:rsidP="00EE31EE">
      <w:pPr>
        <w:spacing w:after="0" w:line="240" w:lineRule="auto"/>
        <w:ind w:left="993" w:hanging="567"/>
      </w:pPr>
      <w:r>
        <w:t>2.1)</w:t>
      </w:r>
      <w:r>
        <w:tab/>
        <w:t>To complete an MCCD/APC you will need to:</w:t>
      </w:r>
    </w:p>
    <w:p w14:paraId="3D4868C4" w14:textId="77777777" w:rsidR="00EE31EE" w:rsidRDefault="00EE31EE" w:rsidP="00EE31EE">
      <w:pPr>
        <w:pStyle w:val="ListParagraph"/>
        <w:numPr>
          <w:ilvl w:val="0"/>
          <w:numId w:val="5"/>
        </w:numPr>
        <w:spacing w:after="0" w:line="240" w:lineRule="auto"/>
        <w:ind w:left="1353"/>
      </w:pPr>
      <w:r>
        <w:t>Have ‘attended’ the deceased before death.</w:t>
      </w:r>
    </w:p>
    <w:p w14:paraId="1DE7EB51" w14:textId="77777777" w:rsidR="00EE31EE" w:rsidRDefault="00EE31EE" w:rsidP="00EE31EE">
      <w:pPr>
        <w:pStyle w:val="ListParagraph"/>
        <w:numPr>
          <w:ilvl w:val="0"/>
          <w:numId w:val="5"/>
        </w:numPr>
        <w:spacing w:after="0" w:line="240" w:lineRule="auto"/>
        <w:ind w:left="1353"/>
      </w:pPr>
      <w:r>
        <w:t>Know ‘to the best of your knowledge and belief’ the cause of death.</w:t>
      </w:r>
    </w:p>
    <w:p w14:paraId="653B3A2C" w14:textId="77777777" w:rsidR="00EE31EE" w:rsidRDefault="00EE31EE" w:rsidP="00EE31EE">
      <w:pPr>
        <w:pStyle w:val="ListParagraph"/>
        <w:numPr>
          <w:ilvl w:val="0"/>
          <w:numId w:val="5"/>
        </w:numPr>
        <w:spacing w:after="0" w:line="240" w:lineRule="auto"/>
        <w:ind w:left="1353"/>
      </w:pPr>
      <w:r>
        <w:t>Know that there is no requirement to report the death to the coroner (Annex C).</w:t>
      </w:r>
    </w:p>
    <w:p w14:paraId="2C338938" w14:textId="77777777" w:rsidR="00EE31EE" w:rsidRDefault="00EE31EE" w:rsidP="00EE31EE">
      <w:pPr>
        <w:pStyle w:val="ListParagraph"/>
        <w:numPr>
          <w:ilvl w:val="0"/>
          <w:numId w:val="5"/>
        </w:numPr>
        <w:spacing w:after="0" w:line="240" w:lineRule="auto"/>
        <w:ind w:left="1353"/>
      </w:pPr>
      <w:r>
        <w:t xml:space="preserve">Consider consulting the Medical Examiners’ Office if you are unsure about any of the above (Contact: </w:t>
      </w:r>
      <w:r w:rsidRPr="00C528B8">
        <w:t>0116 258 3102</w:t>
      </w:r>
      <w:r>
        <w:t>/</w:t>
      </w:r>
      <w:r w:rsidRPr="00C528B8">
        <w:t>250 2945 or 07814 028098 or 07815 457565)</w:t>
      </w:r>
      <w:r>
        <w:t>.</w:t>
      </w:r>
    </w:p>
    <w:p w14:paraId="5023FE03" w14:textId="77777777" w:rsidR="00EE31EE" w:rsidRDefault="00EE31EE" w:rsidP="00EE31EE">
      <w:pPr>
        <w:spacing w:after="0" w:line="240" w:lineRule="auto"/>
        <w:ind w:left="993" w:hanging="567"/>
      </w:pPr>
    </w:p>
    <w:p w14:paraId="0FD49CAC" w14:textId="77777777" w:rsidR="00EE31EE" w:rsidRDefault="00EE31EE" w:rsidP="00EE31EE">
      <w:pPr>
        <w:spacing w:after="0" w:line="240" w:lineRule="auto"/>
        <w:ind w:left="993" w:hanging="567"/>
      </w:pPr>
      <w:r>
        <w:t>2.2)</w:t>
      </w:r>
      <w:r>
        <w:tab/>
        <w:t xml:space="preserve">There is no longer any requirement for the deceased to be seen within </w:t>
      </w:r>
      <w:r w:rsidRPr="003D58EE">
        <w:rPr>
          <w:b/>
          <w:bCs/>
        </w:rPr>
        <w:t>28 days prior to death</w:t>
      </w:r>
      <w:r>
        <w:t xml:space="preserve">, or </w:t>
      </w:r>
      <w:r w:rsidRPr="003D58EE">
        <w:rPr>
          <w:b/>
          <w:bCs/>
        </w:rPr>
        <w:t>after death</w:t>
      </w:r>
      <w:r>
        <w:t xml:space="preserve"> by the certifying GP.</w:t>
      </w:r>
    </w:p>
    <w:p w14:paraId="6A8B3551" w14:textId="77777777" w:rsidR="00EE31EE" w:rsidRDefault="00EE31EE" w:rsidP="00EE31EE">
      <w:pPr>
        <w:spacing w:after="0" w:line="240" w:lineRule="auto"/>
        <w:ind w:left="993" w:hanging="567"/>
      </w:pPr>
    </w:p>
    <w:p w14:paraId="79896586" w14:textId="77777777" w:rsidR="00EE31EE" w:rsidRDefault="00EE31EE" w:rsidP="00EE31EE">
      <w:pPr>
        <w:spacing w:after="0" w:line="240" w:lineRule="auto"/>
        <w:ind w:left="993" w:hanging="567"/>
      </w:pPr>
      <w:r>
        <w:t>2.3)</w:t>
      </w:r>
      <w:r>
        <w:tab/>
        <w:t xml:space="preserve">Once completed the GP </w:t>
      </w:r>
      <w:r w:rsidRPr="007F30CD">
        <w:rPr>
          <w:b/>
          <w:bCs/>
        </w:rPr>
        <w:t>MUST</w:t>
      </w:r>
      <w:r>
        <w:t xml:space="preserve"> send the MCCD/APC to the Medical Examiner service, together with the deceased’s person’s relevant health records and any other relevant information (in preference using the PRISM form).</w:t>
      </w:r>
    </w:p>
    <w:p w14:paraId="2708C49C" w14:textId="77777777" w:rsidR="00EE31EE" w:rsidRDefault="00EE31EE" w:rsidP="00EE31EE">
      <w:pPr>
        <w:tabs>
          <w:tab w:val="left" w:pos="426"/>
        </w:tabs>
        <w:spacing w:after="0" w:line="240" w:lineRule="auto"/>
        <w:ind w:left="360"/>
      </w:pPr>
    </w:p>
    <w:p w14:paraId="166B6320" w14:textId="77777777" w:rsidR="00EE31EE" w:rsidRDefault="00EE31EE" w:rsidP="00EE31EE">
      <w:pPr>
        <w:tabs>
          <w:tab w:val="left" w:pos="426"/>
        </w:tabs>
        <w:spacing w:after="0" w:line="240" w:lineRule="auto"/>
      </w:pPr>
      <w:r>
        <w:t>3)</w:t>
      </w:r>
      <w:r>
        <w:tab/>
        <w:t>Please find attached the Following Annexes:</w:t>
      </w:r>
    </w:p>
    <w:p w14:paraId="30C67CEC" w14:textId="77777777" w:rsidR="00EE31EE" w:rsidRDefault="00EE31EE" w:rsidP="00EE31EE">
      <w:pPr>
        <w:tabs>
          <w:tab w:val="left" w:pos="426"/>
        </w:tabs>
        <w:spacing w:after="0" w:line="240" w:lineRule="auto"/>
        <w:ind w:left="360"/>
      </w:pPr>
    </w:p>
    <w:p w14:paraId="49B32959" w14:textId="77777777" w:rsidR="00EE31EE" w:rsidRDefault="00EE31EE" w:rsidP="00EE31EE">
      <w:pPr>
        <w:tabs>
          <w:tab w:val="left" w:pos="426"/>
        </w:tabs>
        <w:spacing w:after="0" w:line="240" w:lineRule="auto"/>
        <w:ind w:left="360"/>
      </w:pPr>
      <w:r>
        <w:t>Annex A</w:t>
      </w:r>
      <w:r>
        <w:tab/>
        <w:t>Flow chart of death process for GPs.</w:t>
      </w:r>
    </w:p>
    <w:p w14:paraId="79461D56" w14:textId="77777777" w:rsidR="00EE31EE" w:rsidRDefault="00EE31EE" w:rsidP="00EE31EE">
      <w:pPr>
        <w:tabs>
          <w:tab w:val="left" w:pos="426"/>
        </w:tabs>
        <w:spacing w:after="0" w:line="240" w:lineRule="auto"/>
        <w:ind w:left="360"/>
      </w:pPr>
      <w:r>
        <w:t>Annex B</w:t>
      </w:r>
      <w:r>
        <w:tab/>
        <w:t>Frequently Asked Questions.</w:t>
      </w:r>
    </w:p>
    <w:p w14:paraId="11E05C90" w14:textId="77777777" w:rsidR="00EE31EE" w:rsidRDefault="00EE31EE" w:rsidP="00EE31EE">
      <w:pPr>
        <w:tabs>
          <w:tab w:val="left" w:pos="426"/>
        </w:tabs>
        <w:spacing w:after="0" w:line="240" w:lineRule="auto"/>
        <w:ind w:left="360"/>
      </w:pPr>
      <w:r>
        <w:t>Annex C</w:t>
      </w:r>
      <w:r>
        <w:tab/>
        <w:t>Notifiable Causes of Death.</w:t>
      </w:r>
    </w:p>
    <w:p w14:paraId="674BBE93" w14:textId="77777777" w:rsidR="00EE31EE" w:rsidRDefault="00EE31EE" w:rsidP="00EE31EE">
      <w:pPr>
        <w:tabs>
          <w:tab w:val="left" w:pos="426"/>
        </w:tabs>
        <w:spacing w:after="0" w:line="240" w:lineRule="auto"/>
        <w:ind w:left="360"/>
      </w:pPr>
    </w:p>
    <w:p w14:paraId="5FDB0B6E" w14:textId="77777777" w:rsidR="00EE31EE" w:rsidRDefault="00EE31EE" w:rsidP="00EE31EE">
      <w:pPr>
        <w:tabs>
          <w:tab w:val="left" w:pos="426"/>
        </w:tabs>
        <w:spacing w:after="0" w:line="240" w:lineRule="auto"/>
        <w:ind w:left="426" w:hanging="426"/>
      </w:pPr>
      <w:r>
        <w:t>4)</w:t>
      </w:r>
      <w:r>
        <w:tab/>
        <w:t>This guidance is accurate at the time of writing but refers to draft legislation so may be subject to change.</w:t>
      </w:r>
    </w:p>
    <w:p w14:paraId="715268BA" w14:textId="77777777" w:rsidR="00EE31EE" w:rsidRDefault="00EE31EE" w:rsidP="00EE31EE">
      <w:pPr>
        <w:spacing w:after="0" w:line="240" w:lineRule="auto"/>
        <w:jc w:val="right"/>
      </w:pPr>
      <w:r>
        <w:t xml:space="preserve">LLRLMC </w:t>
      </w:r>
    </w:p>
    <w:p w14:paraId="0188ABBF" w14:textId="77777777" w:rsidR="00EE31EE" w:rsidRDefault="00EE31EE" w:rsidP="00EE31EE">
      <w:pPr>
        <w:spacing w:after="0" w:line="240" w:lineRule="auto"/>
        <w:jc w:val="right"/>
      </w:pPr>
      <w:r>
        <w:t>January 2024</w:t>
      </w:r>
    </w:p>
    <w:p w14:paraId="733181BF" w14:textId="74601370" w:rsidR="00EE31EE" w:rsidRDefault="00EE31EE" w:rsidP="00EE31EE"/>
    <w:sectPr w:rsidR="00EE31EE" w:rsidSect="00EE31EE">
      <w:headerReference w:type="even" r:id="rId7"/>
      <w:headerReference w:type="default" r:id="rId8"/>
      <w:footerReference w:type="even" r:id="rId9"/>
      <w:footerReference w:type="default" r:id="rId10"/>
      <w:headerReference w:type="first" r:id="rId11"/>
      <w:footerReference w:type="first" r:id="rId12"/>
      <w:pgSz w:w="11906" w:h="16838"/>
      <w:pgMar w:top="225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3E38" w14:textId="77777777" w:rsidR="00233A69" w:rsidRDefault="00233A69" w:rsidP="00233A69">
      <w:pPr>
        <w:spacing w:after="0" w:line="240" w:lineRule="auto"/>
      </w:pPr>
      <w:r>
        <w:separator/>
      </w:r>
    </w:p>
  </w:endnote>
  <w:endnote w:type="continuationSeparator" w:id="0">
    <w:p w14:paraId="7724FD2E" w14:textId="77777777" w:rsidR="00233A69" w:rsidRDefault="00233A69" w:rsidP="0023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FC77" w14:textId="77777777" w:rsidR="00233A69" w:rsidRDefault="0023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70D4" w14:textId="77777777" w:rsidR="00233A69" w:rsidRDefault="00233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536D" w14:textId="77777777" w:rsidR="00233A69" w:rsidRDefault="0023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B7CF" w14:textId="77777777" w:rsidR="00233A69" w:rsidRDefault="00233A69" w:rsidP="00233A69">
      <w:pPr>
        <w:spacing w:after="0" w:line="240" w:lineRule="auto"/>
      </w:pPr>
      <w:r>
        <w:separator/>
      </w:r>
    </w:p>
  </w:footnote>
  <w:footnote w:type="continuationSeparator" w:id="0">
    <w:p w14:paraId="64664670" w14:textId="77777777" w:rsidR="00233A69" w:rsidRDefault="00233A69" w:rsidP="0023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1B85" w14:textId="77777777" w:rsidR="00233A69" w:rsidRDefault="0023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5C0E" w14:textId="77777777" w:rsidR="00233A69" w:rsidRPr="00F74739" w:rsidRDefault="00233A69" w:rsidP="00233A69">
    <w:pPr>
      <w:pStyle w:val="Heading1"/>
      <w:rPr>
        <w:b/>
        <w:bCs/>
        <w:color w:val="auto"/>
      </w:rPr>
    </w:pPr>
    <w:r w:rsidRPr="00F74739">
      <w:rPr>
        <w:b/>
        <w:bCs/>
        <w:color w:val="auto"/>
      </w:rPr>
      <w:t>ANNEX ONE: Draft Death Processes and The Medical Examiner Service from April 2024</w:t>
    </w:r>
  </w:p>
  <w:p w14:paraId="08C72347" w14:textId="77777777" w:rsidR="00233A69" w:rsidRDefault="00233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ECE0" w14:textId="77777777" w:rsidR="00233A69" w:rsidRDefault="0023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FE5"/>
    <w:multiLevelType w:val="hybridMultilevel"/>
    <w:tmpl w:val="D03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C2A"/>
    <w:multiLevelType w:val="hybridMultilevel"/>
    <w:tmpl w:val="A07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E4A"/>
    <w:multiLevelType w:val="hybridMultilevel"/>
    <w:tmpl w:val="79867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2A1106"/>
    <w:multiLevelType w:val="hybridMultilevel"/>
    <w:tmpl w:val="7BB2BF6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6B213068"/>
    <w:multiLevelType w:val="hybridMultilevel"/>
    <w:tmpl w:val="A95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02999">
    <w:abstractNumId w:val="1"/>
  </w:num>
  <w:num w:numId="2" w16cid:durableId="108866576">
    <w:abstractNumId w:val="2"/>
  </w:num>
  <w:num w:numId="3" w16cid:durableId="986856765">
    <w:abstractNumId w:val="0"/>
  </w:num>
  <w:num w:numId="4" w16cid:durableId="85881512">
    <w:abstractNumId w:val="4"/>
  </w:num>
  <w:num w:numId="5" w16cid:durableId="2138140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EE"/>
    <w:rsid w:val="001B02CA"/>
    <w:rsid w:val="00233A69"/>
    <w:rsid w:val="003C3674"/>
    <w:rsid w:val="00EE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2220"/>
  <w15:chartTrackingRefBased/>
  <w15:docId w15:val="{A28F7758-3382-46F5-8937-4370BD37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EE"/>
  </w:style>
  <w:style w:type="paragraph" w:styleId="Heading1">
    <w:name w:val="heading 1"/>
    <w:basedOn w:val="Normal"/>
    <w:next w:val="Normal"/>
    <w:link w:val="Heading1Char"/>
    <w:uiPriority w:val="9"/>
    <w:qFormat/>
    <w:rsid w:val="00EE31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EE"/>
    <w:rPr>
      <w:rFonts w:eastAsiaTheme="majorEastAsia" w:cstheme="majorBidi"/>
      <w:color w:val="272727" w:themeColor="text1" w:themeTint="D8"/>
    </w:rPr>
  </w:style>
  <w:style w:type="paragraph" w:styleId="Title">
    <w:name w:val="Title"/>
    <w:basedOn w:val="Normal"/>
    <w:next w:val="Normal"/>
    <w:link w:val="TitleChar"/>
    <w:uiPriority w:val="10"/>
    <w:qFormat/>
    <w:rsid w:val="00EE31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EE"/>
    <w:pPr>
      <w:spacing w:before="160"/>
      <w:jc w:val="center"/>
    </w:pPr>
    <w:rPr>
      <w:i/>
      <w:iCs/>
      <w:color w:val="404040" w:themeColor="text1" w:themeTint="BF"/>
    </w:rPr>
  </w:style>
  <w:style w:type="character" w:customStyle="1" w:styleId="QuoteChar">
    <w:name w:val="Quote Char"/>
    <w:basedOn w:val="DefaultParagraphFont"/>
    <w:link w:val="Quote"/>
    <w:uiPriority w:val="29"/>
    <w:rsid w:val="00EE31EE"/>
    <w:rPr>
      <w:i/>
      <w:iCs/>
      <w:color w:val="404040" w:themeColor="text1" w:themeTint="BF"/>
    </w:rPr>
  </w:style>
  <w:style w:type="paragraph" w:styleId="ListParagraph">
    <w:name w:val="List Paragraph"/>
    <w:basedOn w:val="Normal"/>
    <w:uiPriority w:val="34"/>
    <w:qFormat/>
    <w:rsid w:val="00EE31EE"/>
    <w:pPr>
      <w:ind w:left="720"/>
      <w:contextualSpacing/>
    </w:pPr>
  </w:style>
  <w:style w:type="character" w:styleId="IntenseEmphasis">
    <w:name w:val="Intense Emphasis"/>
    <w:basedOn w:val="DefaultParagraphFont"/>
    <w:uiPriority w:val="21"/>
    <w:qFormat/>
    <w:rsid w:val="00EE31EE"/>
    <w:rPr>
      <w:i/>
      <w:iCs/>
      <w:color w:val="0F4761" w:themeColor="accent1" w:themeShade="BF"/>
    </w:rPr>
  </w:style>
  <w:style w:type="paragraph" w:styleId="IntenseQuote">
    <w:name w:val="Intense Quote"/>
    <w:basedOn w:val="Normal"/>
    <w:next w:val="Normal"/>
    <w:link w:val="IntenseQuoteChar"/>
    <w:uiPriority w:val="30"/>
    <w:qFormat/>
    <w:rsid w:val="00EE31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EE"/>
    <w:rPr>
      <w:i/>
      <w:iCs/>
      <w:color w:val="0F4761" w:themeColor="accent1" w:themeShade="BF"/>
    </w:rPr>
  </w:style>
  <w:style w:type="character" w:styleId="IntenseReference">
    <w:name w:val="Intense Reference"/>
    <w:basedOn w:val="DefaultParagraphFont"/>
    <w:uiPriority w:val="32"/>
    <w:qFormat/>
    <w:rsid w:val="00EE31EE"/>
    <w:rPr>
      <w:b/>
      <w:bCs/>
      <w:smallCaps/>
      <w:color w:val="0F4761" w:themeColor="accent1" w:themeShade="BF"/>
      <w:spacing w:val="5"/>
    </w:rPr>
  </w:style>
  <w:style w:type="character" w:styleId="Hyperlink">
    <w:name w:val="Hyperlink"/>
    <w:basedOn w:val="DefaultParagraphFont"/>
    <w:uiPriority w:val="99"/>
    <w:unhideWhenUsed/>
    <w:rsid w:val="00EE31EE"/>
    <w:rPr>
      <w:color w:val="0000FF"/>
      <w:u w:val="single"/>
    </w:rPr>
  </w:style>
  <w:style w:type="paragraph" w:styleId="Header">
    <w:name w:val="header"/>
    <w:basedOn w:val="Normal"/>
    <w:link w:val="HeaderChar"/>
    <w:uiPriority w:val="99"/>
    <w:unhideWhenUsed/>
    <w:rsid w:val="0023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9"/>
  </w:style>
  <w:style w:type="paragraph" w:styleId="Footer">
    <w:name w:val="footer"/>
    <w:basedOn w:val="Normal"/>
    <w:link w:val="FooterChar"/>
    <w:uiPriority w:val="99"/>
    <w:unhideWhenUsed/>
    <w:rsid w:val="0023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3</cp:revision>
  <dcterms:created xsi:type="dcterms:W3CDTF">2024-01-19T11:27:00Z</dcterms:created>
  <dcterms:modified xsi:type="dcterms:W3CDTF">2024-01-19T11:39:00Z</dcterms:modified>
</cp:coreProperties>
</file>